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8" w:rsidRDefault="00C93338" w:rsidP="00C93338">
      <w:pPr>
        <w:pStyle w:val="Heading1"/>
      </w:pPr>
      <w:r>
        <w:t>Lesson Element</w:t>
      </w:r>
    </w:p>
    <w:p w:rsidR="00A90D1A" w:rsidRPr="00A90D1A" w:rsidRDefault="00A90D1A" w:rsidP="00A90D1A"/>
    <w:p w:rsidR="0057463F" w:rsidRDefault="0057463F" w:rsidP="0057463F">
      <w:pPr>
        <w:pStyle w:val="Heading1"/>
      </w:pPr>
      <w:r>
        <w:t>Managing comparison and question choice in Section 2 of the Drama and Poetry pre-1900 Examination</w:t>
      </w:r>
    </w:p>
    <w:p w:rsidR="0057463F" w:rsidRPr="006236EF" w:rsidRDefault="0057463F" w:rsidP="0057463F"/>
    <w:p w:rsidR="0057463F" w:rsidRPr="004C2416" w:rsidRDefault="0057463F" w:rsidP="00FA7A99">
      <w:pPr>
        <w:pStyle w:val="Heading2"/>
      </w:pPr>
      <w:r>
        <w:t>Task 1 - Looking at your chosen set texts</w:t>
      </w:r>
    </w:p>
    <w:p w:rsidR="0057463F" w:rsidRDefault="0057463F" w:rsidP="0057463F">
      <w:pPr>
        <w:pStyle w:val="BasicParagraph"/>
        <w:suppressAutoHyphens/>
        <w:spacing w:before="113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to establish the similarities and contrasts between your own chosen texts using this grid:</w:t>
      </w:r>
    </w:p>
    <w:tbl>
      <w:tblPr>
        <w:tblpPr w:leftFromText="180" w:rightFromText="180" w:vertAnchor="text" w:tblpY="336"/>
        <w:tblW w:w="0" w:type="auto"/>
        <w:tblBorders>
          <w:top w:val="single" w:sz="4" w:space="0" w:color="5C9330"/>
          <w:left w:val="single" w:sz="4" w:space="0" w:color="5C9330"/>
          <w:bottom w:val="single" w:sz="4" w:space="0" w:color="5C9330"/>
          <w:right w:val="single" w:sz="4" w:space="0" w:color="5C9330"/>
          <w:insideH w:val="single" w:sz="4" w:space="0" w:color="5C9330"/>
          <w:insideV w:val="single" w:sz="4" w:space="0" w:color="5C9330"/>
        </w:tblBorders>
        <w:shd w:val="clear" w:color="auto" w:fill="0069AA"/>
        <w:tblLook w:val="04A0" w:firstRow="1" w:lastRow="0" w:firstColumn="1" w:lastColumn="0" w:noHBand="0" w:noVBand="1"/>
      </w:tblPr>
      <w:tblGrid>
        <w:gridCol w:w="1746"/>
        <w:gridCol w:w="1591"/>
        <w:gridCol w:w="1895"/>
        <w:gridCol w:w="1969"/>
        <w:gridCol w:w="3219"/>
      </w:tblGrid>
      <w:tr w:rsidR="0057463F" w:rsidRPr="00E43A5A" w:rsidTr="0057463F">
        <w:trPr>
          <w:trHeight w:val="1134"/>
          <w:tblHeader/>
        </w:trPr>
        <w:tc>
          <w:tcPr>
            <w:tcW w:w="1746" w:type="dxa"/>
            <w:shd w:val="clear" w:color="auto" w:fill="E7F0C0"/>
            <w:vAlign w:val="center"/>
          </w:tcPr>
          <w:p w:rsidR="0057463F" w:rsidRPr="00E43A5A" w:rsidRDefault="0057463F" w:rsidP="0057463F">
            <w:pPr>
              <w:pStyle w:val="TableHeader"/>
            </w:pPr>
            <w:r>
              <w:t>Set Text</w:t>
            </w:r>
          </w:p>
        </w:tc>
        <w:tc>
          <w:tcPr>
            <w:tcW w:w="1591" w:type="dxa"/>
            <w:shd w:val="clear" w:color="auto" w:fill="E7F0C0"/>
            <w:vAlign w:val="center"/>
          </w:tcPr>
          <w:p w:rsidR="0057463F" w:rsidRPr="00E43A5A" w:rsidRDefault="0057463F" w:rsidP="0057463F">
            <w:pPr>
              <w:pStyle w:val="TableHeader"/>
            </w:pPr>
            <w:r>
              <w:t>Political Context</w:t>
            </w:r>
          </w:p>
        </w:tc>
        <w:tc>
          <w:tcPr>
            <w:tcW w:w="1895" w:type="dxa"/>
            <w:shd w:val="clear" w:color="auto" w:fill="E7F0C0"/>
            <w:vAlign w:val="center"/>
          </w:tcPr>
          <w:p w:rsidR="0057463F" w:rsidRPr="00E43A5A" w:rsidRDefault="0057463F" w:rsidP="0057463F">
            <w:pPr>
              <w:pStyle w:val="TableHeader"/>
            </w:pPr>
            <w:r>
              <w:t>Social Context</w:t>
            </w:r>
          </w:p>
        </w:tc>
        <w:tc>
          <w:tcPr>
            <w:tcW w:w="1969" w:type="dxa"/>
            <w:shd w:val="clear" w:color="auto" w:fill="E7F0C0"/>
            <w:vAlign w:val="center"/>
          </w:tcPr>
          <w:p w:rsidR="0057463F" w:rsidRPr="00E43A5A" w:rsidRDefault="0057463F" w:rsidP="0057463F">
            <w:pPr>
              <w:pStyle w:val="TableHeader"/>
            </w:pPr>
            <w:r>
              <w:t>Theatrical Context</w:t>
            </w:r>
          </w:p>
        </w:tc>
        <w:tc>
          <w:tcPr>
            <w:tcW w:w="3219" w:type="dxa"/>
            <w:shd w:val="clear" w:color="auto" w:fill="E7F0C0"/>
            <w:vAlign w:val="center"/>
          </w:tcPr>
          <w:p w:rsidR="0057463F" w:rsidRPr="00E43A5A" w:rsidRDefault="0057463F" w:rsidP="0057463F">
            <w:pPr>
              <w:pStyle w:val="TableHeader"/>
            </w:pPr>
            <w:r>
              <w:t>Biographical/Authorial Context</w:t>
            </w:r>
          </w:p>
        </w:tc>
      </w:tr>
      <w:tr w:rsidR="0057463F" w:rsidRPr="00E43A5A" w:rsidTr="0057463F">
        <w:trPr>
          <w:trHeight w:val="2675"/>
        </w:trPr>
        <w:tc>
          <w:tcPr>
            <w:tcW w:w="1746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</w:tr>
      <w:tr w:rsidR="0057463F" w:rsidRPr="00E43A5A" w:rsidTr="0057463F">
        <w:trPr>
          <w:trHeight w:val="3818"/>
        </w:trPr>
        <w:tc>
          <w:tcPr>
            <w:tcW w:w="1746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57463F" w:rsidRPr="00E43A5A" w:rsidRDefault="0057463F" w:rsidP="0057463F">
            <w:pPr>
              <w:spacing w:before="120" w:after="120"/>
              <w:rPr>
                <w:rFonts w:cs="Arial"/>
              </w:rPr>
            </w:pPr>
          </w:p>
        </w:tc>
      </w:tr>
    </w:tbl>
    <w:p w:rsidR="007940A2" w:rsidRDefault="007940A2" w:rsidP="007940A2">
      <w:pPr>
        <w:rPr>
          <w:rFonts w:cs="Arial"/>
          <w:b/>
          <w:color w:val="D0202E"/>
          <w:sz w:val="28"/>
        </w:rPr>
      </w:pPr>
    </w:p>
    <w:p w:rsidR="0057463F" w:rsidRDefault="0057463F" w:rsidP="0057463F">
      <w:pPr>
        <w:pStyle w:val="Heading3"/>
        <w:spacing w:line="240" w:lineRule="auto"/>
      </w:pPr>
      <w:r>
        <w:lastRenderedPageBreak/>
        <w:t>Managing Choice in the examination</w:t>
      </w:r>
    </w:p>
    <w:p w:rsidR="0057463F" w:rsidRDefault="0057463F" w:rsidP="0057463F">
      <w:pPr>
        <w:spacing w:before="240" w:after="240"/>
      </w:pPr>
      <w:r>
        <w:t>This examination</w:t>
      </w:r>
      <w:r w:rsidRPr="004C2416">
        <w:t xml:space="preserve"> is perhaps unusual in that you will be offered a choice of six statements unrelated to any specific text: some may be about human nature as exemplified in literature, but they will be general. Six propositions will be offered - here is an example (taken from a previous examination session).</w:t>
      </w:r>
    </w:p>
    <w:p w:rsidR="0057463F" w:rsidRDefault="0057463F" w:rsidP="0057463F">
      <w:pPr>
        <w:spacing w:before="240" w:after="240"/>
        <w:ind w:left="709"/>
      </w:pPr>
      <w:r>
        <w:t xml:space="preserve">a) </w:t>
      </w:r>
      <w:r w:rsidRPr="006236EF">
        <w:rPr>
          <w:i/>
        </w:rPr>
        <w:t>‘People will do anything, no matter how foolish, to get what they want’</w:t>
      </w:r>
    </w:p>
    <w:p w:rsidR="0057463F" w:rsidRPr="006236EF" w:rsidRDefault="0057463F" w:rsidP="0057463F">
      <w:pPr>
        <w:spacing w:after="240"/>
      </w:pPr>
      <w:r>
        <w:t>In the light of this view, discuss ways in which writers represent ambition. In your answer, compare one drama text and one poetry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[30]</w:t>
      </w:r>
    </w:p>
    <w:p w:rsidR="0057463F" w:rsidRPr="006236EF" w:rsidRDefault="0057463F" w:rsidP="0057463F">
      <w:pPr>
        <w:spacing w:after="240"/>
        <w:rPr>
          <w:b/>
        </w:rPr>
      </w:pPr>
      <w:r>
        <w:rPr>
          <w:b/>
        </w:rPr>
        <w:t>Or</w:t>
      </w:r>
      <w:r>
        <w:rPr>
          <w:b/>
        </w:rPr>
        <w:tab/>
      </w:r>
      <w:r>
        <w:t xml:space="preserve">b) </w:t>
      </w:r>
      <w:r w:rsidRPr="006236EF">
        <w:rPr>
          <w:i/>
        </w:rPr>
        <w:t>‘Sins and vices demand punishment: sinners expect it: readers and audiences demand it!’</w:t>
      </w:r>
    </w:p>
    <w:p w:rsidR="0057463F" w:rsidRPr="006236EF" w:rsidRDefault="0057463F" w:rsidP="0057463F">
      <w:pPr>
        <w:spacing w:after="240"/>
      </w:pPr>
      <w:r>
        <w:t>In the light of this view, discuss ways in which writers explore ideas of guilt and punishment. In your answer, compare one drama text and one poetry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[30]</w:t>
      </w:r>
    </w:p>
    <w:p w:rsidR="0057463F" w:rsidRPr="006236EF" w:rsidRDefault="0057463F" w:rsidP="0057463F">
      <w:pPr>
        <w:spacing w:after="240"/>
        <w:rPr>
          <w:b/>
        </w:rPr>
      </w:pPr>
      <w:r>
        <w:rPr>
          <w:b/>
        </w:rPr>
        <w:t>Or</w:t>
      </w:r>
      <w:r>
        <w:rPr>
          <w:b/>
        </w:rPr>
        <w:tab/>
      </w:r>
      <w:r>
        <w:t xml:space="preserve">c) </w:t>
      </w:r>
      <w:r w:rsidRPr="006236EF">
        <w:rPr>
          <w:i/>
        </w:rPr>
        <w:t>‘Strong emotions demand intense and vivid expression.’</w:t>
      </w:r>
    </w:p>
    <w:p w:rsidR="0057463F" w:rsidRPr="006236EF" w:rsidRDefault="0057463F" w:rsidP="0057463F">
      <w:pPr>
        <w:spacing w:after="240"/>
      </w:pPr>
      <w:r>
        <w:t>In the light of this view, consider the uses which writers make of passionate language. In your answer, compare one drama text and one poetry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[30]</w:t>
      </w:r>
    </w:p>
    <w:p w:rsidR="0057463F" w:rsidRPr="006236EF" w:rsidRDefault="0057463F" w:rsidP="0057463F">
      <w:pPr>
        <w:spacing w:after="240"/>
        <w:rPr>
          <w:b/>
        </w:rPr>
      </w:pPr>
      <w:r>
        <w:rPr>
          <w:b/>
        </w:rPr>
        <w:t>Or</w:t>
      </w:r>
      <w:r>
        <w:rPr>
          <w:b/>
        </w:rPr>
        <w:tab/>
      </w:r>
      <w:r>
        <w:t>d)</w:t>
      </w:r>
      <w:r w:rsidRPr="006236EF">
        <w:rPr>
          <w:i/>
        </w:rPr>
        <w:t xml:space="preserve"> ‘</w:t>
      </w:r>
      <w:proofErr w:type="gramStart"/>
      <w:r w:rsidRPr="006236EF">
        <w:rPr>
          <w:i/>
        </w:rPr>
        <w:t>We</w:t>
      </w:r>
      <w:proofErr w:type="gramEnd"/>
      <w:r w:rsidRPr="006236EF">
        <w:rPr>
          <w:i/>
        </w:rPr>
        <w:t xml:space="preserve"> are little battlefields: in us, reason and emotion are constantly at war.’</w:t>
      </w:r>
    </w:p>
    <w:p w:rsidR="0057463F" w:rsidRPr="006236EF" w:rsidRDefault="0057463F" w:rsidP="0057463F">
      <w:pPr>
        <w:spacing w:after="240"/>
      </w:pPr>
      <w:r>
        <w:t>In the light of this view, consider ways in which writers explore conflicts between reason and emotion. In your answer, compare one drama text and one poetry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[30]</w:t>
      </w:r>
    </w:p>
    <w:p w:rsidR="0057463F" w:rsidRPr="006236EF" w:rsidRDefault="0057463F" w:rsidP="0057463F">
      <w:pPr>
        <w:spacing w:after="240"/>
        <w:rPr>
          <w:b/>
        </w:rPr>
      </w:pPr>
      <w:r>
        <w:rPr>
          <w:b/>
        </w:rPr>
        <w:t>Or</w:t>
      </w:r>
      <w:r>
        <w:rPr>
          <w:b/>
        </w:rPr>
        <w:tab/>
      </w:r>
      <w:r>
        <w:t xml:space="preserve">e) </w:t>
      </w:r>
      <w:r w:rsidRPr="006236EF">
        <w:rPr>
          <w:i/>
        </w:rPr>
        <w:t>‘The skull lies only a very little way beneath the skin’</w:t>
      </w:r>
    </w:p>
    <w:p w:rsidR="0057463F" w:rsidRDefault="0057463F" w:rsidP="0057463F">
      <w:pPr>
        <w:spacing w:after="240"/>
      </w:pPr>
      <w:r>
        <w:t>In the light of this view, consider ways in which writers explore ideas of mortality. In your answer, compare one drama text and one poetry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[30]</w:t>
      </w:r>
    </w:p>
    <w:p w:rsidR="0057463F" w:rsidRDefault="0057463F" w:rsidP="0057463F">
      <w:pPr>
        <w:spacing w:after="240"/>
      </w:pPr>
      <w:r>
        <w:rPr>
          <w:b/>
        </w:rPr>
        <w:t>Or</w:t>
      </w:r>
      <w:r>
        <w:rPr>
          <w:b/>
        </w:rPr>
        <w:tab/>
      </w:r>
      <w:r>
        <w:t xml:space="preserve">f) </w:t>
      </w:r>
      <w:r w:rsidRPr="006236EF">
        <w:rPr>
          <w:i/>
        </w:rPr>
        <w:t>‘Mockery makes us wiser’</w:t>
      </w:r>
    </w:p>
    <w:p w:rsidR="0057463F" w:rsidRPr="006236EF" w:rsidRDefault="0057463F" w:rsidP="0057463F">
      <w:pPr>
        <w:spacing w:after="240"/>
      </w:pPr>
      <w:r>
        <w:t>In the light of this view, discuss ways in which writers make use of humour. In your answer, compare one drama text and one poetry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[30]</w:t>
      </w:r>
    </w:p>
    <w:p w:rsidR="0057463F" w:rsidRPr="008B0E36" w:rsidRDefault="0057463F" w:rsidP="0057463F">
      <w:pPr>
        <w:rPr>
          <w:b/>
          <w:u w:val="single"/>
        </w:rPr>
      </w:pPr>
      <w:r w:rsidRPr="008B0E36">
        <w:rPr>
          <w:b/>
        </w:rPr>
        <w:t xml:space="preserve">Look at the options above. The most important part of the question is the quotation: it gives candidates a clear proposition on which to base their argument. Their decision – and the crucial one is </w:t>
      </w:r>
      <w:r w:rsidRPr="008B0E36">
        <w:rPr>
          <w:b/>
          <w:u w:val="single"/>
        </w:rPr>
        <w:t>which question to choose</w:t>
      </w:r>
      <w:r w:rsidRPr="008B0E36">
        <w:rPr>
          <w:b/>
        </w:rPr>
        <w:t>?</w:t>
      </w:r>
    </w:p>
    <w:p w:rsidR="0057463F" w:rsidRDefault="0057463F" w:rsidP="0057463F">
      <w:pPr>
        <w:rPr>
          <w:b/>
          <w:u w:val="single"/>
        </w:rPr>
      </w:pPr>
    </w:p>
    <w:p w:rsidR="0057463F" w:rsidRDefault="0057463F" w:rsidP="0057463F">
      <w:r>
        <w:lastRenderedPageBreak/>
        <w:t>In the exam, candidates will have five or ten minutes in which to think about their choice of question. This is a crucial few minutes.</w:t>
      </w:r>
    </w:p>
    <w:p w:rsidR="0057463F" w:rsidRDefault="0057463F" w:rsidP="0057463F"/>
    <w:p w:rsidR="0057463F" w:rsidRDefault="0057463F" w:rsidP="00FA7A99">
      <w:pPr>
        <w:pStyle w:val="Heading2"/>
      </w:pPr>
      <w:r>
        <w:t>Task 2</w:t>
      </w:r>
    </w:p>
    <w:p w:rsidR="0057463F" w:rsidRPr="00BA6110" w:rsidRDefault="0057463F" w:rsidP="0057463F">
      <w:pPr>
        <w:spacing w:after="240"/>
      </w:pPr>
      <w:r w:rsidRPr="00BA6110">
        <w:t xml:space="preserve">For </w:t>
      </w:r>
      <w:r w:rsidRPr="008B0E36">
        <w:rPr>
          <w:u w:val="single"/>
        </w:rPr>
        <w:t>each of the chosen texts in turn</w:t>
      </w:r>
      <w:r w:rsidRPr="00BA6110">
        <w:t>, score with ticks those propositions which you think you could talk about in relation to that text.</w:t>
      </w:r>
    </w:p>
    <w:p w:rsidR="0057463F" w:rsidRPr="00BA6110" w:rsidRDefault="0057463F" w:rsidP="0057463F">
      <w:pPr>
        <w:spacing w:after="240"/>
      </w:pPr>
      <w:r w:rsidRPr="00BA6110">
        <w:t>Put the ticks for your drama text on the left, and your poetry on the right.</w:t>
      </w:r>
    </w:p>
    <w:p w:rsidR="0057463F" w:rsidRPr="00BA6110" w:rsidRDefault="0057463F" w:rsidP="0057463F">
      <w:pPr>
        <w:spacing w:after="240"/>
      </w:pPr>
      <w:r w:rsidRPr="00BA6110">
        <w:t>Do not try to compare them in your mind at all at this stage.</w:t>
      </w:r>
    </w:p>
    <w:p w:rsidR="0057463F" w:rsidRDefault="0057463F" w:rsidP="0057463F">
      <w:pPr>
        <w:spacing w:after="240"/>
      </w:pPr>
      <w:r>
        <w:t xml:space="preserve">Now ‘stand back’ from the list and see where the overlap comes: which questions have attracted the most ticks for </w:t>
      </w:r>
      <w:r w:rsidRPr="00C4371F">
        <w:rPr>
          <w:u w:val="single"/>
        </w:rPr>
        <w:t>both</w:t>
      </w:r>
      <w:r>
        <w:t xml:space="preserve"> texts? </w:t>
      </w:r>
    </w:p>
    <w:p w:rsidR="0057463F" w:rsidRDefault="0057463F" w:rsidP="0057463F">
      <w:pPr>
        <w:spacing w:after="240"/>
        <w:rPr>
          <w:b/>
        </w:rPr>
      </w:pPr>
      <w:r>
        <w:rPr>
          <w:b/>
        </w:rPr>
        <w:t>Now is the time to start planning your answer!</w:t>
      </w:r>
    </w:p>
    <w:p w:rsidR="0057463F" w:rsidRPr="002B4DF5" w:rsidRDefault="00B5394C" w:rsidP="0057463F">
      <w:pPr>
        <w:rPr>
          <w:b/>
        </w:rPr>
      </w:pPr>
      <w:bookmarkStart w:id="0" w:name="_GoBack"/>
      <w:bookmarkEnd w:id="0"/>
      <w:r w:rsidRPr="00431E05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4CC1B" wp14:editId="69C6F92E">
                <wp:simplePos x="0" y="0"/>
                <wp:positionH relativeFrom="column">
                  <wp:posOffset>499745</wp:posOffset>
                </wp:positionH>
                <wp:positionV relativeFrom="paragraph">
                  <wp:posOffset>2959735</wp:posOffset>
                </wp:positionV>
                <wp:extent cx="6058535" cy="2381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4C" w:rsidRDefault="00B5394C" w:rsidP="00B5394C">
                            <w:pPr>
                              <w:rPr>
                                <w:rFonts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 w:rsidRPr="001A6893">
                              <w:rPr>
                                <w:rFonts w:cs="Arial"/>
                                <w:sz w:val="17"/>
                                <w:szCs w:val="17"/>
                              </w:rPr>
                              <w:t>To give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us feedback on, or ideas about</w:t>
                            </w:r>
                            <w:r w:rsidRPr="001A6893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the OCR resources you have used, email </w:t>
                            </w:r>
                            <w:hyperlink r:id="rId9" w:history="1">
                              <w:r w:rsidRPr="00650786">
                                <w:rPr>
                                  <w:rStyle w:val="Hyperlink"/>
                                  <w:rFonts w:cs="Arial"/>
                                  <w:sz w:val="17"/>
                                  <w:szCs w:val="17"/>
                                </w:rPr>
                                <w:t>resourcesfeedback@ocr.org.uk</w:t>
                              </w:r>
                            </w:hyperlink>
                          </w:p>
                          <w:p w:rsidR="00B5394C" w:rsidRPr="001A6893" w:rsidRDefault="00B5394C" w:rsidP="00B5394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5pt;margin-top:233.05pt;width:477.0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" filled="f" stroked="f">
                <v:textbox>
                  <w:txbxContent>
                    <w:p w:rsidR="00B5394C" w:rsidRDefault="00B5394C" w:rsidP="00B5394C">
                      <w:pPr>
                        <w:rPr>
                          <w:rFonts w:cs="Arial"/>
                          <w:color w:val="0000FF"/>
                          <w:sz w:val="17"/>
                          <w:szCs w:val="17"/>
                        </w:rPr>
                      </w:pPr>
                      <w:r w:rsidRPr="001A6893">
                        <w:rPr>
                          <w:rFonts w:cs="Arial"/>
                          <w:sz w:val="17"/>
                          <w:szCs w:val="17"/>
                        </w:rPr>
                        <w:t>To give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 xml:space="preserve"> us feedback on, or ideas about</w:t>
                      </w:r>
                      <w:r w:rsidRPr="001A6893">
                        <w:rPr>
                          <w:rFonts w:cs="Arial"/>
                          <w:sz w:val="17"/>
                          <w:szCs w:val="17"/>
                        </w:rPr>
                        <w:t xml:space="preserve"> the OCR resources you have used, email </w:t>
                      </w:r>
                      <w:hyperlink r:id="rId10" w:history="1">
                        <w:r w:rsidRPr="00650786">
                          <w:rPr>
                            <w:rStyle w:val="Hyperlink"/>
                            <w:rFonts w:cs="Arial"/>
                            <w:sz w:val="17"/>
                            <w:szCs w:val="17"/>
                          </w:rPr>
                          <w:t>resourcesfeedback@ocr.org.uk</w:t>
                        </w:r>
                      </w:hyperlink>
                    </w:p>
                    <w:p w:rsidR="00B5394C" w:rsidRPr="001A6893" w:rsidRDefault="00B5394C" w:rsidP="00B5394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94C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7800" wp14:editId="55396D58">
                <wp:simplePos x="0" y="0"/>
                <wp:positionH relativeFrom="column">
                  <wp:posOffset>424458</wp:posOffset>
                </wp:positionH>
                <wp:positionV relativeFrom="paragraph">
                  <wp:posOffset>3201670</wp:posOffset>
                </wp:positionV>
                <wp:extent cx="5799455" cy="1619250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1619250"/>
                        </a:xfrm>
                        <a:prstGeom prst="roundRect">
                          <a:avLst/>
                        </a:prstGeom>
                        <a:solidFill>
                          <a:srgbClr val="E7F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394C" w:rsidRPr="00F33DE3" w:rsidRDefault="00B5394C" w:rsidP="00B5394C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F33DE3">
                              <w:rPr>
                                <w:rFonts w:cs="Arial"/>
                                <w:b/>
                                <w:sz w:val="16"/>
                                <w:szCs w:val="12"/>
                              </w:rPr>
                              <w:t>OCR Resources</w:t>
                            </w:r>
                            <w:r w:rsidRPr="00F33DE3">
                              <w:rPr>
                                <w:rFonts w:cs="Arial"/>
                                <w:sz w:val="16"/>
                                <w:szCs w:val="12"/>
                              </w:rPr>
                              <w:t xml:space="preserve">: </w:t>
                            </w:r>
                            <w:r w:rsidRPr="00F33DE3">
                              <w:rPr>
                                <w:rFonts w:cs="Arial"/>
                                <w:i/>
                                <w:sz w:val="16"/>
                                <w:szCs w:val="12"/>
                              </w:rPr>
                              <w:t>the small print</w:t>
                            </w:r>
                          </w:p>
                          <w:p w:rsidR="00B5394C" w:rsidRPr="00F33DE3" w:rsidRDefault="00B5394C" w:rsidP="00B5394C">
                            <w:pPr>
                              <w:suppressAutoHyphens/>
                              <w:rPr>
                                <w:rFonts w:cs="Arial"/>
                                <w:iCs/>
                                <w:sz w:val="12"/>
                                <w:szCs w:val="12"/>
                              </w:rPr>
                            </w:pPr>
                            <w:r w:rsidRPr="00F33DE3">
                              <w:rPr>
                                <w:rFonts w:cs="Arial"/>
                                <w:iCs/>
                                <w:sz w:val="12"/>
                                <w:szCs w:val="12"/>
                              </w:rPr>
                              <w:t xml:space="preserve">OCR’s resources are provided to support the teaching of OCR specifications, but in no way constitute an endorsed teaching method that is required by the Board, and the decision to use </w:t>
                            </w:r>
                            <w:proofErr w:type="gramStart"/>
                            <w:r w:rsidRPr="00F33DE3">
                              <w:rPr>
                                <w:rFonts w:cs="Arial"/>
                                <w:iCs/>
                                <w:sz w:val="12"/>
                                <w:szCs w:val="12"/>
                              </w:rPr>
                              <w:t>them</w:t>
                            </w:r>
                            <w:proofErr w:type="gramEnd"/>
                            <w:r w:rsidRPr="00F33DE3">
                              <w:rPr>
                                <w:rFonts w:cs="Arial"/>
                                <w:iCs/>
                                <w:sz w:val="12"/>
                                <w:szCs w:val="12"/>
                              </w:rPr>
                              <w:t xml:space="preserve"> lies with the individual teacher.   Whilst every effort is made to ensure the accuracy of the content, OCR cannot be held responsible for any errors or omissions within these resources. </w:t>
                            </w:r>
                          </w:p>
                          <w:p w:rsidR="00B5394C" w:rsidRPr="00F33DE3" w:rsidRDefault="00B5394C" w:rsidP="00B5394C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F33DE3">
                              <w:rPr>
                                <w:rFonts w:cs="Arial"/>
                                <w:sz w:val="12"/>
                                <w:szCs w:val="12"/>
                              </w:rPr>
                              <w:t>© OCR 201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5</w:t>
                            </w:r>
                            <w:r w:rsidRPr="00F33DE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- This resource may be freely copied and distributed, as long as the OCR logo and this message remain intact and OCR is acknowledged as the originator of this work.</w:t>
                            </w:r>
                          </w:p>
                          <w:p w:rsidR="00B5394C" w:rsidRPr="00F33DE3" w:rsidRDefault="00B5394C" w:rsidP="00B5394C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F33DE3">
                              <w:rPr>
                                <w:rFonts w:cs="Arial"/>
                                <w:sz w:val="12"/>
                                <w:szCs w:val="12"/>
                              </w:rPr>
                              <w:t>OCR acknowledges the use of the following content:</w:t>
                            </w:r>
                          </w:p>
                          <w:p w:rsidR="00B5394C" w:rsidRPr="00775553" w:rsidRDefault="00B5394C" w:rsidP="00B5394C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Maths and icons: Air0ne/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Shutterstock.con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sym w:font="Wingdings" w:char="F06C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Pages 2, 5 and 6 - E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>xcerpt taken from the first chapter,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p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3-4, of </w:t>
                            </w:r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Paradise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by Toni Morrison, published by Vintage (1999) © Toni Morrison (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>1997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sym w:font="Wingdings" w:char="F06C"/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Pages 2, 5 and 7 - 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>Excerpt taken from the first chapter,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p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3-4, of </w:t>
                            </w:r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Nineteen Eighty-Four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by George Orwell, published by Penguin Books (2008) ©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the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state of the late Sonia Orwell (1987) </w:t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sym w:font="Wingdings" w:char="F06C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Pages 2, 5 and 8 - 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>Excerpt taken from the first chapter,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p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1-2, of </w:t>
                            </w:r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Slaughterhouse 5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by Kurt Vonnegut, published by Vintage (2000) © Kurt Vonnegut Jr. (1969) </w:t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sym w:font="Wingdings" w:char="F06C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Pages 2, 5 and 9 - Excerpt taken from p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3 of </w:t>
                            </w:r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Color</w:t>
                            </w:r>
                            <w:proofErr w:type="spellEnd"/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 xml:space="preserve"> Purple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by Alice Walker, published by The Women’s Press Ltd (1992) ©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Alice Walker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(1983) </w:t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sym w:font="Wingdings" w:char="F06C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Pages 2, 5 and 10 - 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Excerpt taken from the first chapter, p1 , of </w:t>
                            </w:r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The End of the Affair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by Graeme Greene, published by Vintage (2004) © Graham Greene, 1951 </w:t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sym w:font="Wingdings" w:char="F06C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Pages 2, 5 and 11 - 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>Excerpt taken from the first chapter, p1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1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, of </w:t>
                            </w:r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The Metamorphosis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by Franz Kafka, published by Dover Publishing Inc. (1996) © Dover Publishing Inc. (1996) </w:t>
                            </w:r>
                            <w:r w:rsidRPr="004E1843">
                              <w:rPr>
                                <w:rFonts w:cs="Arial"/>
                                <w:sz w:val="8"/>
                                <w:szCs w:val="12"/>
                              </w:rPr>
                              <w:sym w:font="Wingdings" w:char="F06C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Pages 2, 5 and 12 - 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Excerpt taken from the first chapter, p1, of </w:t>
                            </w:r>
                            <w:r w:rsidRPr="00775553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The Secret History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by Donna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Tartt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, p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>ubli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shed by the Penguin Group (1993) © Donna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Tartt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775553">
                              <w:rPr>
                                <w:rFonts w:cs="Arial"/>
                                <w:sz w:val="12"/>
                                <w:szCs w:val="12"/>
                              </w:rPr>
                              <w:t>1992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33.4pt;margin-top:252.1pt;width:456.6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" fillcolor="#e7f0c0" stroked="f" strokeweight="2pt">
                <v:textbox>
                  <w:txbxContent>
                    <w:p w:rsidR="00B5394C" w:rsidRPr="00F33DE3" w:rsidRDefault="00B5394C" w:rsidP="00B5394C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F33DE3">
                        <w:rPr>
                          <w:rFonts w:cs="Arial"/>
                          <w:b/>
                          <w:sz w:val="16"/>
                          <w:szCs w:val="12"/>
                        </w:rPr>
                        <w:t>OCR Resources</w:t>
                      </w:r>
                      <w:r w:rsidRPr="00F33DE3">
                        <w:rPr>
                          <w:rFonts w:cs="Arial"/>
                          <w:sz w:val="16"/>
                          <w:szCs w:val="12"/>
                        </w:rPr>
                        <w:t xml:space="preserve">: </w:t>
                      </w:r>
                      <w:r w:rsidRPr="00F33DE3">
                        <w:rPr>
                          <w:rFonts w:cs="Arial"/>
                          <w:i/>
                          <w:sz w:val="16"/>
                          <w:szCs w:val="12"/>
                        </w:rPr>
                        <w:t>the small print</w:t>
                      </w:r>
                    </w:p>
                    <w:p w:rsidR="00B5394C" w:rsidRPr="00F33DE3" w:rsidRDefault="00B5394C" w:rsidP="00B5394C">
                      <w:pPr>
                        <w:suppressAutoHyphens/>
                        <w:rPr>
                          <w:rFonts w:cs="Arial"/>
                          <w:iCs/>
                          <w:sz w:val="12"/>
                          <w:szCs w:val="12"/>
                        </w:rPr>
                      </w:pPr>
                      <w:r w:rsidRPr="00F33DE3">
                        <w:rPr>
                          <w:rFonts w:cs="Arial"/>
                          <w:iCs/>
                          <w:sz w:val="12"/>
                          <w:szCs w:val="12"/>
                        </w:rPr>
                        <w:t xml:space="preserve">OCR’s resources are provided to support the teaching of OCR specifications, but in no way constitute an endorsed teaching method that is required by the Board, and the decision to use </w:t>
                      </w:r>
                      <w:proofErr w:type="gramStart"/>
                      <w:r w:rsidRPr="00F33DE3">
                        <w:rPr>
                          <w:rFonts w:cs="Arial"/>
                          <w:iCs/>
                          <w:sz w:val="12"/>
                          <w:szCs w:val="12"/>
                        </w:rPr>
                        <w:t>them</w:t>
                      </w:r>
                      <w:proofErr w:type="gramEnd"/>
                      <w:r w:rsidRPr="00F33DE3">
                        <w:rPr>
                          <w:rFonts w:cs="Arial"/>
                          <w:iCs/>
                          <w:sz w:val="12"/>
                          <w:szCs w:val="12"/>
                        </w:rPr>
                        <w:t xml:space="preserve"> lies with the individual teacher.   Whilst every effort is made to ensure the accuracy of the content, OCR cannot be held responsible for any errors or omissions within these resources. </w:t>
                      </w:r>
                    </w:p>
                    <w:p w:rsidR="00B5394C" w:rsidRPr="00F33DE3" w:rsidRDefault="00B5394C" w:rsidP="00B5394C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F33DE3">
                        <w:rPr>
                          <w:rFonts w:cs="Arial"/>
                          <w:sz w:val="12"/>
                          <w:szCs w:val="12"/>
                        </w:rPr>
                        <w:t>© OCR 201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5</w:t>
                      </w:r>
                      <w:r w:rsidRPr="00F33DE3">
                        <w:rPr>
                          <w:rFonts w:cs="Arial"/>
                          <w:sz w:val="12"/>
                          <w:szCs w:val="12"/>
                        </w:rPr>
                        <w:t xml:space="preserve"> - This resource may be freely copied and distributed, as long as the OCR logo and this message remain intact and OCR is acknowledged as the originator of this work.</w:t>
                      </w:r>
                    </w:p>
                    <w:p w:rsidR="00B5394C" w:rsidRPr="00F33DE3" w:rsidRDefault="00B5394C" w:rsidP="00B5394C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F33DE3">
                        <w:rPr>
                          <w:rFonts w:cs="Arial"/>
                          <w:sz w:val="12"/>
                          <w:szCs w:val="12"/>
                        </w:rPr>
                        <w:t>OCR acknowledges the use of the following content:</w:t>
                      </w:r>
                    </w:p>
                    <w:p w:rsidR="00B5394C" w:rsidRPr="00775553" w:rsidRDefault="00B5394C" w:rsidP="00B5394C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Maths and icons: Air0ne/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</w:rPr>
                        <w:t>Shutterstock.con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sym w:font="Wingdings" w:char="F06C"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Pages 2, 5 and 6 - E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>xcerpt taken from the first chapter, p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p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3-4, of </w:t>
                      </w:r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>Paradise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by Toni Morrison, published by Vintage (1999) © Toni Morrison (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>1997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) </w:t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sym w:font="Wingdings" w:char="F06C"/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Pages 2, 5 and 7 - 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>Excerpt taken from the first chapter, p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p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3-4, of </w:t>
                      </w:r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>Nineteen Eighty-Four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by George Orwell, published by Penguin Books (2008) ©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the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 E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state of the late Sonia Orwell (1987) </w:t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sym w:font="Wingdings" w:char="F06C"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Pages 2, 5 and 8 - 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>Excerpt taken from the first chapter, p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p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1-2, of </w:t>
                      </w:r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>Slaughterhouse 5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by Kurt Vonnegut, published by Vintage (2000) © Kurt Vonnegut Jr. (1969) </w:t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sym w:font="Wingdings" w:char="F06C"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Pages 2, 5 and 9 - Excerpt taken from p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 3 of </w:t>
                      </w:r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>Color</w:t>
                      </w:r>
                      <w:proofErr w:type="spellEnd"/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 xml:space="preserve"> Purple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by Alice Walker, published by The Women’s Press Ltd (1992) ©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 Alice Walker 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(1983) </w:t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sym w:font="Wingdings" w:char="F06C"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Pages 2, 5 and 10 - 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Excerpt taken from the first chapter, p1 , of </w:t>
                      </w:r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>The End of the Affair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by Graeme Greene, published by Vintage (2004) © Graham Greene, 1951 </w:t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sym w:font="Wingdings" w:char="F06C"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Pages 2, 5 and 11 - 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>Excerpt taken from the first chapter, p1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1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, of </w:t>
                      </w:r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>The Metamorphosis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by Franz Kafka, published by Dover Publishing Inc. (1996) © Dover Publishing Inc. (1996) </w:t>
                      </w:r>
                      <w:r w:rsidRPr="004E1843">
                        <w:rPr>
                          <w:rFonts w:cs="Arial"/>
                          <w:sz w:val="8"/>
                          <w:szCs w:val="12"/>
                        </w:rPr>
                        <w:sym w:font="Wingdings" w:char="F06C"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Pages 2, 5 and 12 - 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 xml:space="preserve">Excerpt taken from the first chapter, p1, of </w:t>
                      </w:r>
                      <w:r w:rsidRPr="00775553">
                        <w:rPr>
                          <w:rFonts w:cs="Arial"/>
                          <w:i/>
                          <w:sz w:val="12"/>
                          <w:szCs w:val="12"/>
                        </w:rPr>
                        <w:t>The Secret History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by Donna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</w:rPr>
                        <w:t>Tartt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</w:rPr>
                        <w:t>, p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>ubli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shed by the Penguin Group (1993) © Donna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</w:rPr>
                        <w:t>Tartt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(</w:t>
                      </w:r>
                      <w:r w:rsidRPr="00775553">
                        <w:rPr>
                          <w:rFonts w:cs="Arial"/>
                          <w:sz w:val="12"/>
                          <w:szCs w:val="12"/>
                        </w:rPr>
                        <w:t>1992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7463F" w:rsidRPr="002B4DF5" w:rsidSect="0057463F">
      <w:headerReference w:type="default" r:id="rId11"/>
      <w:footerReference w:type="default" r:id="rId12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0C" w:rsidRDefault="00B5000C" w:rsidP="00246764">
      <w:pPr>
        <w:spacing w:line="240" w:lineRule="auto"/>
      </w:pPr>
      <w:r>
        <w:separator/>
      </w:r>
    </w:p>
  </w:endnote>
  <w:endnote w:type="continuationSeparator" w:id="0">
    <w:p w:rsidR="00B5000C" w:rsidRDefault="00B5000C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0C336E7C" wp14:editId="2C222FD7">
          <wp:simplePos x="0" y="0"/>
          <wp:positionH relativeFrom="column">
            <wp:posOffset>-539750</wp:posOffset>
          </wp:positionH>
          <wp:positionV relativeFrom="paragraph">
            <wp:posOffset>180662</wp:posOffset>
          </wp:positionV>
          <wp:extent cx="7578014" cy="723897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14" cy="7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63F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0C" w:rsidRDefault="00B5000C" w:rsidP="00246764">
      <w:pPr>
        <w:spacing w:line="240" w:lineRule="auto"/>
      </w:pPr>
      <w:r>
        <w:separator/>
      </w:r>
    </w:p>
  </w:footnote>
  <w:footnote w:type="continuationSeparator" w:id="0">
    <w:p w:rsidR="00B5000C" w:rsidRDefault="00B5000C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075ACA4" wp14:editId="5D6CC633">
          <wp:simplePos x="0" y="0"/>
          <wp:positionH relativeFrom="column">
            <wp:posOffset>-542746</wp:posOffset>
          </wp:positionH>
          <wp:positionV relativeFrom="paragraph">
            <wp:posOffset>-450215</wp:posOffset>
          </wp:positionV>
          <wp:extent cx="7598325" cy="1087224"/>
          <wp:effectExtent l="0" t="0" r="3175" b="0"/>
          <wp:wrapNone/>
          <wp:docPr id="28" name="Picture 295" descr="A Level English Literature" title="A Level English Liter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25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71AAE"/>
    <w:rsid w:val="000F67A1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33E84"/>
    <w:rsid w:val="003D70C5"/>
    <w:rsid w:val="00424CC9"/>
    <w:rsid w:val="00446F37"/>
    <w:rsid w:val="00466501"/>
    <w:rsid w:val="004735FC"/>
    <w:rsid w:val="00485720"/>
    <w:rsid w:val="004D0E3B"/>
    <w:rsid w:val="004D17B9"/>
    <w:rsid w:val="00521E7E"/>
    <w:rsid w:val="005649D5"/>
    <w:rsid w:val="00570C24"/>
    <w:rsid w:val="0057463F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D4C25"/>
    <w:rsid w:val="00AE53FC"/>
    <w:rsid w:val="00B026DE"/>
    <w:rsid w:val="00B5000C"/>
    <w:rsid w:val="00B5394C"/>
    <w:rsid w:val="00B76F78"/>
    <w:rsid w:val="00BE0359"/>
    <w:rsid w:val="00BE359E"/>
    <w:rsid w:val="00C31191"/>
    <w:rsid w:val="00C6380A"/>
    <w:rsid w:val="00C67DE6"/>
    <w:rsid w:val="00C8681F"/>
    <w:rsid w:val="00C93338"/>
    <w:rsid w:val="00D173F7"/>
    <w:rsid w:val="00D66263"/>
    <w:rsid w:val="00DC0B57"/>
    <w:rsid w:val="00DC7FAC"/>
    <w:rsid w:val="00DF39C0"/>
    <w:rsid w:val="00E206D3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A7A99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E37D21"/>
    <w:pPr>
      <w:keepNext/>
      <w:keepLines/>
      <w:outlineLvl w:val="0"/>
    </w:pPr>
    <w:rPr>
      <w:rFonts w:eastAsia="Times New Roman" w:cs="Times New Roman"/>
      <w:bCs/>
      <w:color w:val="5C933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37D21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D21"/>
    <w:pPr>
      <w:keepNext/>
      <w:keepLines/>
      <w:outlineLvl w:val="2"/>
    </w:pPr>
    <w:rPr>
      <w:rFonts w:eastAsia="Times New Roman"/>
      <w:b/>
      <w:bCs/>
      <w:color w:val="5C933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E37D21"/>
    <w:rPr>
      <w:rFonts w:ascii="Arial" w:eastAsia="Times New Roman" w:hAnsi="Arial"/>
      <w:b/>
      <w:bCs/>
      <w:color w:val="5C933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E37D21"/>
    <w:rPr>
      <w:rFonts w:ascii="Arial" w:eastAsia="Times New Roman" w:hAnsi="Arial"/>
      <w:b/>
      <w:bCs/>
      <w:color w:val="5C933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37D21"/>
    <w:rPr>
      <w:rFonts w:ascii="Arial" w:eastAsia="Times New Roman" w:hAnsi="Arial"/>
      <w:b/>
      <w:bCs/>
      <w:color w:val="5C933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B53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E37D21"/>
    <w:pPr>
      <w:keepNext/>
      <w:keepLines/>
      <w:outlineLvl w:val="0"/>
    </w:pPr>
    <w:rPr>
      <w:rFonts w:eastAsia="Times New Roman" w:cs="Times New Roman"/>
      <w:bCs/>
      <w:color w:val="5C933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37D21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D21"/>
    <w:pPr>
      <w:keepNext/>
      <w:keepLines/>
      <w:outlineLvl w:val="2"/>
    </w:pPr>
    <w:rPr>
      <w:rFonts w:eastAsia="Times New Roman"/>
      <w:b/>
      <w:bCs/>
      <w:color w:val="5C933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E37D21"/>
    <w:rPr>
      <w:rFonts w:ascii="Arial" w:eastAsia="Times New Roman" w:hAnsi="Arial"/>
      <w:b/>
      <w:bCs/>
      <w:color w:val="5C933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E37D21"/>
    <w:rPr>
      <w:rFonts w:ascii="Arial" w:eastAsia="Times New Roman" w:hAnsi="Arial"/>
      <w:b/>
      <w:bCs/>
      <w:color w:val="5C933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37D21"/>
    <w:rPr>
      <w:rFonts w:ascii="Arial" w:eastAsia="Times New Roman" w:hAnsi="Arial"/>
      <w:b/>
      <w:bCs/>
      <w:color w:val="5C933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B5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ourcesfeedback@ocr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ourcesfeedback@ocr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5E71-9ED0-47EB-814D-D57AD88B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English Literature  Lesson Element Learner Activity (Managing Comparision)</vt:lpstr>
    </vt:vector>
  </TitlesOfParts>
  <Company>Cambridge Assessment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English Literature  Lesson Element Learner Activity (Managing Comparision)</dc:title>
  <dc:creator>OCR</dc:creator>
  <cp:keywords>A Level, English Literature, Lesson Element, Managing comparison and question choice in Section 2 of the Drama and Poetry pre-1900 Examination</cp:keywords>
  <cp:lastModifiedBy>Erica Deam</cp:lastModifiedBy>
  <cp:revision>5</cp:revision>
  <cp:lastPrinted>2014-03-19T09:17:00Z</cp:lastPrinted>
  <dcterms:created xsi:type="dcterms:W3CDTF">2015-11-02T14:19:00Z</dcterms:created>
  <dcterms:modified xsi:type="dcterms:W3CDTF">2015-12-23T14:44:00Z</dcterms:modified>
</cp:coreProperties>
</file>