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3843" w:rsidRPr="00BA6EC7" w:rsidRDefault="00704236" w:rsidP="00704236">
      <w:pPr>
        <w:pStyle w:val="Heading1"/>
      </w:pPr>
      <w:r>
        <w:t>Industrial chemistry</w:t>
      </w:r>
    </w:p>
    <w:p w:rsidR="00704236" w:rsidRPr="00293ABD" w:rsidRDefault="00704236" w:rsidP="00704236">
      <w:pPr>
        <w:rPr>
          <w:b/>
        </w:rPr>
      </w:pPr>
      <w:r>
        <w:rPr>
          <w:b/>
        </w:rPr>
        <w:t>Introduction</w:t>
      </w:r>
    </w:p>
    <w:p w:rsidR="00704236" w:rsidRDefault="00704236" w:rsidP="00704236">
      <w:r w:rsidRPr="00293ABD">
        <w:t xml:space="preserve">Many important industrial chemical reactions are reversible and reach equilibrium. This means </w:t>
      </w:r>
      <w:r>
        <w:t xml:space="preserve">that </w:t>
      </w:r>
      <w:r w:rsidRPr="00293ABD">
        <w:t xml:space="preserve">the yield of </w:t>
      </w:r>
      <w:r>
        <w:t xml:space="preserve">the </w:t>
      </w:r>
      <w:r w:rsidRPr="00293ABD">
        <w:t xml:space="preserve">desired product may be low. </w:t>
      </w:r>
    </w:p>
    <w:p w:rsidR="00704236" w:rsidRDefault="00704236" w:rsidP="00704236"/>
    <w:p w:rsidR="00704236" w:rsidRDefault="00704236" w:rsidP="00704236">
      <w:r w:rsidRPr="00293ABD">
        <w:t xml:space="preserve">Chemists may be able to move the equilibrium further to the right to increase the yield, by changing the temperature or pressure. </w:t>
      </w:r>
    </w:p>
    <w:p w:rsidR="00704236" w:rsidRDefault="00704236" w:rsidP="00704236"/>
    <w:p w:rsidR="00704236" w:rsidRDefault="00704236" w:rsidP="00704236">
      <w:r w:rsidRPr="00293ABD">
        <w:t>In this activity, you will study seven important industrial reactions</w:t>
      </w:r>
      <w:r>
        <w:t xml:space="preserve">. You will </w:t>
      </w:r>
      <w:r w:rsidRPr="00293ABD">
        <w:t>derive the equilibrium constants and their units, then consider the best conditions for a high yield. Finally</w:t>
      </w:r>
      <w:r>
        <w:t>,</w:t>
      </w:r>
      <w:r w:rsidRPr="00293ABD">
        <w:t xml:space="preserve"> you </w:t>
      </w:r>
      <w:r>
        <w:t>compare</w:t>
      </w:r>
      <w:r w:rsidRPr="00293ABD">
        <w:t xml:space="preserve"> </w:t>
      </w:r>
      <w:r>
        <w:t>y</w:t>
      </w:r>
      <w:r w:rsidRPr="00293ABD">
        <w:t xml:space="preserve">our predictions </w:t>
      </w:r>
      <w:r>
        <w:t>to</w:t>
      </w:r>
      <w:r w:rsidRPr="00293ABD">
        <w:t xml:space="preserve"> the actual conditions used.</w:t>
      </w:r>
    </w:p>
    <w:p w:rsidR="00704236" w:rsidRDefault="00704236" w:rsidP="00704236"/>
    <w:p w:rsidR="00704236" w:rsidRPr="00293ABD" w:rsidRDefault="00704236" w:rsidP="00704236">
      <w:pPr>
        <w:rPr>
          <w:b/>
        </w:rPr>
      </w:pPr>
      <w:r>
        <w:rPr>
          <w:b/>
        </w:rPr>
        <w:t>Questions</w:t>
      </w:r>
    </w:p>
    <w:p w:rsidR="00704236" w:rsidRDefault="00704236" w:rsidP="00704236">
      <w:r>
        <w:t>Look at Table 1 to answer questions 1–6.</w:t>
      </w:r>
    </w:p>
    <w:p w:rsidR="00704236" w:rsidRP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 w:rsidRPr="00704236">
        <w:t>Balance the chemical equations in column 2.</w:t>
      </w:r>
    </w:p>
    <w:p w:rsidR="00704236" w:rsidRP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 w:rsidRPr="00704236">
        <w:t xml:space="preserve">Give the expressions for the </w:t>
      </w:r>
      <w:r w:rsidRPr="00704236">
        <w:rPr>
          <w:i/>
        </w:rPr>
        <w:t>K</w:t>
      </w:r>
      <w:r w:rsidRPr="00704236">
        <w:rPr>
          <w:vertAlign w:val="subscript"/>
        </w:rPr>
        <w:t>c</w:t>
      </w:r>
      <w:r w:rsidRPr="00704236">
        <w:t xml:space="preserve"> for each reaction in column 4.</w:t>
      </w:r>
    </w:p>
    <w:p w:rsidR="00704236" w:rsidRP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 w:rsidRPr="00704236">
        <w:t xml:space="preserve">Give the units for the </w:t>
      </w:r>
      <w:r w:rsidRPr="00704236">
        <w:rPr>
          <w:i/>
        </w:rPr>
        <w:t>K</w:t>
      </w:r>
      <w:r w:rsidRPr="00704236">
        <w:rPr>
          <w:vertAlign w:val="subscript"/>
        </w:rPr>
        <w:t>c</w:t>
      </w:r>
      <w:r w:rsidRPr="00704236">
        <w:t xml:space="preserve"> for each reaction in column 7.</w:t>
      </w:r>
    </w:p>
    <w:p w:rsidR="00704236" w:rsidRP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 w:rsidRPr="00704236">
        <w:t>Calculate the atom economy for each reaction. Write these values in column 8.</w:t>
      </w:r>
    </w:p>
    <w:p w:rsidR="00704236" w:rsidRP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 w:rsidRPr="00704236">
        <w:t xml:space="preserve">Look at the values of </w:t>
      </w:r>
      <w:r w:rsidRPr="00704236">
        <w:rPr>
          <w:i/>
        </w:rPr>
        <w:t>K</w:t>
      </w:r>
      <w:r w:rsidRPr="00704236">
        <w:rPr>
          <w:vertAlign w:val="subscript"/>
        </w:rPr>
        <w:t>c</w:t>
      </w:r>
      <w:r w:rsidRPr="00704236">
        <w:t xml:space="preserve"> for each process</w:t>
      </w:r>
      <w:r w:rsidR="00751CF3">
        <w:t>;</w:t>
      </w:r>
      <w:r w:rsidRPr="00704236">
        <w:t xml:space="preserve"> what does this tell you about the position of equilibrium and the likely yield?</w:t>
      </w:r>
      <w:r w:rsidR="001E73A4">
        <w:br/>
      </w:r>
      <w:r w:rsidR="001E73A4" w:rsidRPr="009172BD">
        <w:rPr>
          <w:rFonts w:cs="Arial"/>
          <w:color w:val="C53E70"/>
        </w:rPr>
      </w:r>
      <w:r w:rsidR="001E73A4" w:rsidRPr="009172BD">
        <w:rPr>
          <w:rFonts w:cs="Arial"/>
          <w:color w:val="C53E70"/>
        </w:rPr>
        <w:pict>
          <v:roundrect id="_x0000_s1038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1E73A4" w:rsidRPr="00604C7B" w:rsidRDefault="001E73A4" w:rsidP="001E73A4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04236" w:rsidRP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 w:rsidRPr="00704236">
        <w:t>When the temperature is increased from 373</w:t>
      </w:r>
      <w:r w:rsidRPr="00704236">
        <w:rPr>
          <w:rFonts w:ascii="Cambria Math" w:hAnsi="Cambria Math"/>
        </w:rPr>
        <w:t> </w:t>
      </w:r>
      <w:r w:rsidRPr="00704236">
        <w:t>K to 773</w:t>
      </w:r>
      <w:r w:rsidRPr="00704236">
        <w:rPr>
          <w:rFonts w:ascii="Cambria Math" w:hAnsi="Cambria Math"/>
        </w:rPr>
        <w:t> </w:t>
      </w:r>
      <w:r w:rsidRPr="00704236">
        <w:t xml:space="preserve">K what happens to the value of </w:t>
      </w:r>
      <w:r w:rsidRPr="00704236">
        <w:rPr>
          <w:i/>
        </w:rPr>
        <w:t>K</w:t>
      </w:r>
      <w:r w:rsidRPr="00704236">
        <w:rPr>
          <w:vertAlign w:val="subscript"/>
        </w:rPr>
        <w:t>c</w:t>
      </w:r>
      <w:r w:rsidRPr="00704236">
        <w:t>? Explain why it is different for different reactions.</w:t>
      </w:r>
      <w:r w:rsidR="001E73A4">
        <w:br/>
      </w:r>
      <w:r w:rsidR="001E73A4" w:rsidRPr="009172BD">
        <w:rPr>
          <w:rFonts w:cs="Arial"/>
          <w:color w:val="C53E70"/>
        </w:rPr>
      </w:r>
      <w:r w:rsidR="001E73A4" w:rsidRPr="009172BD">
        <w:rPr>
          <w:rFonts w:cs="Arial"/>
          <w:color w:val="C53E70"/>
        </w:rPr>
        <w:pict>
          <v:roundrect id="_x0000_s1039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1E73A4" w:rsidRPr="00604C7B" w:rsidRDefault="001E73A4" w:rsidP="001E73A4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04236" w:rsidRDefault="00704236" w:rsidP="00704236">
      <w:r>
        <w:t>Look at Table 2 to answer questions 7–10.</w:t>
      </w:r>
    </w:p>
    <w:p w:rsid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  <w:rPr>
          <w:rFonts w:asciiTheme="minorHAnsi" w:hAnsiTheme="minorHAnsi"/>
        </w:rPr>
      </w:pPr>
      <w:r>
        <w:t>Fill in the best temperature (high or low) for a high yield of product in column 3.</w:t>
      </w:r>
    </w:p>
    <w:p w:rsid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>
        <w:t>Fill in the best pressure (high or low) for a high yield of product in column 4.</w:t>
      </w:r>
    </w:p>
    <w:p w:rsid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>
        <w:t>Which processes are not using the best temperature and pressure for a high yield?  Can you explain why?</w:t>
      </w:r>
      <w:r w:rsidR="001E73A4">
        <w:br/>
      </w:r>
      <w:r w:rsidR="001E73A4" w:rsidRPr="009172BD">
        <w:rPr>
          <w:rFonts w:cs="Arial"/>
          <w:color w:val="C53E70"/>
        </w:rPr>
      </w:r>
      <w:r w:rsidR="001E73A4" w:rsidRPr="009172BD">
        <w:rPr>
          <w:rFonts w:cs="Arial"/>
          <w:color w:val="C53E70"/>
        </w:rPr>
        <w:pict>
          <v:roundrect id="_x0000_s1040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1E73A4" w:rsidRPr="00604C7B" w:rsidRDefault="001E73A4" w:rsidP="001E73A4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04236" w:rsidRDefault="00704236" w:rsidP="00704236">
      <w:pPr>
        <w:pStyle w:val="ListParagraph"/>
        <w:numPr>
          <w:ilvl w:val="0"/>
          <w:numId w:val="14"/>
        </w:numPr>
        <w:spacing w:after="200" w:line="276" w:lineRule="auto"/>
        <w:ind w:left="425" w:hanging="425"/>
        <w:contextualSpacing w:val="0"/>
      </w:pPr>
      <w:r>
        <w:t>All the processes use a catalyst except one. Why do six use a catalyst and one not?</w:t>
      </w:r>
      <w:r w:rsidR="001E73A4">
        <w:br/>
      </w:r>
      <w:r w:rsidR="001E73A4" w:rsidRPr="009172BD">
        <w:rPr>
          <w:rFonts w:cs="Arial"/>
          <w:color w:val="C53E70"/>
        </w:rPr>
      </w:r>
      <w:r w:rsidR="001E73A4" w:rsidRPr="009172BD">
        <w:rPr>
          <w:rFonts w:cs="Arial"/>
          <w:color w:val="C53E70"/>
        </w:rPr>
        <w:pict>
          <v:roundrect id="_x0000_s1041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1E73A4" w:rsidRPr="00604C7B" w:rsidRDefault="001E73A4" w:rsidP="001E73A4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04236" w:rsidRPr="007E4D70" w:rsidRDefault="00704236" w:rsidP="00704236">
      <w:pPr>
        <w:pStyle w:val="Heading3"/>
      </w:pPr>
      <w:r>
        <w:br w:type="page"/>
      </w:r>
      <w:r w:rsidRPr="007E4D70">
        <w:t>Notes</w:t>
      </w:r>
    </w:p>
    <w:p w:rsidR="00704236" w:rsidRDefault="00704236" w:rsidP="00704236">
      <w:r>
        <w:t>High pressures are expensive because the container needs thick walls to withstand them. Large amounts of energy are needed to drive the fans to make this high pressure.</w:t>
      </w:r>
    </w:p>
    <w:p w:rsidR="00704236" w:rsidRDefault="00704236" w:rsidP="00704236"/>
    <w:p w:rsidR="00704236" w:rsidRDefault="00704236" w:rsidP="00704236">
      <w:r w:rsidRPr="00704236">
        <w:t xml:space="preserve">At high pressure </w:t>
      </w:r>
      <w:proofErr w:type="spellStart"/>
      <w:proofErr w:type="gramStart"/>
      <w:r w:rsidR="00751CF3">
        <w:t>sul</w:t>
      </w:r>
      <w:r w:rsidR="001E73A4">
        <w:t>fur</w:t>
      </w:r>
      <w:proofErr w:type="spellEnd"/>
      <w:r w:rsidRPr="00704236">
        <w:t>(</w:t>
      </w:r>
      <w:proofErr w:type="gramEnd"/>
      <w:r w:rsidRPr="00704236">
        <w:rPr>
          <w:rFonts w:ascii="Times New Roman" w:hAnsi="Times New Roman"/>
        </w:rPr>
        <w:t>VI</w:t>
      </w:r>
      <w:r w:rsidRPr="00704236">
        <w:t>) oxide and chlorine are very corrosive.</w:t>
      </w:r>
    </w:p>
    <w:p w:rsidR="00704236" w:rsidRDefault="00704236" w:rsidP="00704236"/>
    <w:p w:rsidR="00704236" w:rsidRDefault="00704236" w:rsidP="00704236">
      <w:r>
        <w:t xml:space="preserve">At high pressure </w:t>
      </w:r>
      <w:proofErr w:type="spellStart"/>
      <w:r>
        <w:t>ethene</w:t>
      </w:r>
      <w:proofErr w:type="spellEnd"/>
      <w:r>
        <w:t xml:space="preserve"> can polymerise or explode.</w:t>
      </w:r>
    </w:p>
    <w:p w:rsidR="00750EBD" w:rsidRPr="00750EBD" w:rsidRDefault="00750EBD" w:rsidP="00704236"/>
    <w:p w:rsidR="00131871" w:rsidRDefault="00131871" w:rsidP="00704236">
      <w:pPr>
        <w:rPr>
          <w:rFonts w:cs="Arial"/>
        </w:rPr>
        <w:sectPr w:rsidR="00131871">
          <w:headerReference w:type="default" r:id="rId8"/>
          <w:footerReference w:type="default" r:id="rId9"/>
          <w:pgSz w:w="11906" w:h="16838"/>
          <w:pgMar w:top="1985" w:right="851" w:bottom="851" w:left="851" w:header="709" w:footer="1355" w:gutter="0"/>
          <w:cols w:space="708"/>
          <w:docGrid w:linePitch="360"/>
        </w:sectPr>
      </w:pPr>
    </w:p>
    <w:p w:rsidR="00704236" w:rsidRPr="00B64C2F" w:rsidRDefault="00704236" w:rsidP="00704236">
      <w:pPr>
        <w:rPr>
          <w:b/>
        </w:rPr>
      </w:pPr>
      <w:r>
        <w:rPr>
          <w:b/>
        </w:rPr>
        <w:t>Table 1</w:t>
      </w:r>
    </w:p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243"/>
        <w:gridCol w:w="4569"/>
        <w:gridCol w:w="1134"/>
        <w:gridCol w:w="2126"/>
        <w:gridCol w:w="1276"/>
        <w:gridCol w:w="1276"/>
        <w:gridCol w:w="1559"/>
        <w:gridCol w:w="2268"/>
      </w:tblGrid>
      <w:tr w:rsidR="0070423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</w:rPr>
              <w:t>Process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</w:rPr>
              <w:t>Equation (unbalanced)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rFonts w:cstheme="minorHAnsi"/>
                <w:b/>
              </w:rPr>
              <w:t>∆</w:t>
            </w:r>
            <w:proofErr w:type="spellStart"/>
            <w:r w:rsidRPr="00704236">
              <w:rPr>
                <w:rFonts w:cstheme="minorHAnsi"/>
                <w:b/>
                <w:vertAlign w:val="subscript"/>
              </w:rPr>
              <w:t>r</w:t>
            </w:r>
            <w:r w:rsidRPr="00704236">
              <w:rPr>
                <w:b/>
                <w:i/>
              </w:rPr>
              <w:t>H</w:t>
            </w:r>
            <w:proofErr w:type="spellEnd"/>
            <w:r w:rsidRPr="00704236">
              <w:rPr>
                <w:b/>
              </w:rPr>
              <w:t xml:space="preserve"> / kJ</w:t>
            </w:r>
            <w:r w:rsidRPr="00704236">
              <w:rPr>
                <w:rFonts w:ascii="Cambria Math" w:hAnsi="Cambria Math"/>
                <w:b/>
              </w:rPr>
              <w:t> </w:t>
            </w:r>
            <w:r w:rsidRPr="00704236">
              <w:rPr>
                <w:b/>
              </w:rPr>
              <w:t>mol</w:t>
            </w:r>
            <w:r w:rsidRPr="00704236">
              <w:rPr>
                <w:b/>
                <w:vertAlign w:val="superscript"/>
              </w:rPr>
              <w:t>–1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</w:rPr>
              <w:t xml:space="preserve">Expression for </w:t>
            </w:r>
            <w:r w:rsidRPr="00704236">
              <w:rPr>
                <w:b/>
                <w:i/>
              </w:rPr>
              <w:t>K</w:t>
            </w:r>
            <w:r w:rsidRPr="00704236">
              <w:rPr>
                <w:b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  <w:i/>
              </w:rPr>
              <w:t>K</w:t>
            </w:r>
            <w:r w:rsidRPr="00704236">
              <w:rPr>
                <w:b/>
                <w:vertAlign w:val="subscript"/>
              </w:rPr>
              <w:t>c</w:t>
            </w:r>
            <w:r w:rsidRPr="00704236">
              <w:rPr>
                <w:b/>
              </w:rPr>
              <w:t xml:space="preserve"> at 373</w:t>
            </w:r>
            <w:r w:rsidRPr="00704236">
              <w:rPr>
                <w:rFonts w:ascii="Cambria Math" w:hAnsi="Cambria Math"/>
                <w:b/>
              </w:rPr>
              <w:t> </w:t>
            </w:r>
            <w:r w:rsidRPr="00704236">
              <w:rPr>
                <w:b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  <w:i/>
              </w:rPr>
              <w:t>K</w:t>
            </w:r>
            <w:r w:rsidRPr="00704236">
              <w:rPr>
                <w:b/>
                <w:vertAlign w:val="subscript"/>
              </w:rPr>
              <w:t>c</w:t>
            </w:r>
            <w:r w:rsidRPr="00704236">
              <w:rPr>
                <w:b/>
              </w:rPr>
              <w:t xml:space="preserve"> at 773</w:t>
            </w:r>
            <w:r w:rsidRPr="00704236">
              <w:rPr>
                <w:rFonts w:ascii="Cambria Math" w:hAnsi="Cambria Math"/>
                <w:b/>
              </w:rPr>
              <w:t> </w:t>
            </w:r>
            <w:r w:rsidRPr="00704236">
              <w:rPr>
                <w:b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</w:rPr>
              <w:t xml:space="preserve">Units for </w:t>
            </w:r>
            <w:r w:rsidRPr="00704236">
              <w:rPr>
                <w:b/>
                <w:i/>
              </w:rPr>
              <w:t>K</w:t>
            </w:r>
            <w:r w:rsidRPr="00704236">
              <w:rPr>
                <w:b/>
                <w:vertAlign w:val="subscript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704236" w:rsidRPr="00704236" w:rsidRDefault="00704236" w:rsidP="00704236">
            <w:pPr>
              <w:spacing w:line="240" w:lineRule="auto"/>
              <w:jc w:val="center"/>
              <w:rPr>
                <w:b/>
              </w:rPr>
            </w:pPr>
            <w:r w:rsidRPr="00704236">
              <w:rPr>
                <w:b/>
              </w:rPr>
              <w:t>Atom economy</w:t>
            </w:r>
          </w:p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>
            <w:r w:rsidRPr="00704236">
              <w:t>Haber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>… N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+  … </w:t>
            </w:r>
            <w:proofErr w:type="gramStart"/>
            <w:r w:rsidRPr="00704236">
              <w:t>H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5pt;height:12.9pt" o:ole="">
                  <v:imagedata r:id="rId10" o:title=""/>
                </v:shape>
                <o:OLEObject Type="Embed" ProgID="Equation.3" ShapeID="_x0000_i1025" DrawAspect="Content" ObjectID="_1373375742" r:id="rId11"/>
              </w:object>
            </w:r>
            <w:r w:rsidRPr="00704236">
              <w:t xml:space="preserve">  … NH</w:t>
            </w:r>
            <w:r w:rsidRPr="00704236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–92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4 × 10</w:t>
            </w:r>
            <w:r w:rsidRPr="00704236">
              <w:rPr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7 × 10</w:t>
            </w:r>
            <w:r w:rsidRPr="00704236">
              <w:rPr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>
            <w:r w:rsidRPr="00704236">
              <w:t>Contact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>… SO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+  … </w:t>
            </w:r>
            <w:proofErr w:type="gramStart"/>
            <w:r w:rsidRPr="00704236">
              <w:t>O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 id="_x0000_i1026" type="#_x0000_t75" style="width:17.55pt;height:12.9pt" o:ole="">
                  <v:imagedata r:id="rId12" o:title=""/>
                </v:shape>
                <o:OLEObject Type="Embed" ProgID="Equation.3" ShapeID="_x0000_i1026" DrawAspect="Content" ObjectID="_1373375743" r:id="rId13"/>
              </w:object>
            </w:r>
            <w:r w:rsidRPr="00704236">
              <w:t xml:space="preserve">  … SO</w:t>
            </w:r>
            <w:r w:rsidRPr="00704236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–196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1 × 10</w:t>
            </w:r>
            <w:r w:rsidRPr="00704236">
              <w:rPr>
                <w:vertAlign w:val="superscript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2 × 10</w:t>
            </w:r>
            <w:r w:rsidRPr="00704236">
              <w:rPr>
                <w:vertAlign w:val="superscrip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704236">
            <w:pPr>
              <w:spacing w:line="240" w:lineRule="auto"/>
            </w:pPr>
            <w:proofErr w:type="spellStart"/>
            <w:r w:rsidRPr="00704236">
              <w:t>Birkeland</w:t>
            </w:r>
            <w:proofErr w:type="spellEnd"/>
            <w:r w:rsidRPr="00704236">
              <w:t>–</w:t>
            </w:r>
            <w:proofErr w:type="spellStart"/>
            <w:r w:rsidRPr="00704236">
              <w:t>Eyde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>… N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+  … </w:t>
            </w:r>
            <w:proofErr w:type="gramStart"/>
            <w:r w:rsidRPr="00704236">
              <w:t>O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 id="_x0000_i1027" type="#_x0000_t75" style="width:17.55pt;height:12.9pt" o:ole="">
                  <v:imagedata r:id="rId14" o:title=""/>
                </v:shape>
                <o:OLEObject Type="Embed" ProgID="Equation.3" ShapeID="_x0000_i1027" DrawAspect="Content" ObjectID="_1373375744" r:id="rId15"/>
              </w:object>
            </w:r>
            <w:r w:rsidRPr="00704236">
              <w:t xml:space="preserve">  …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+180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3 × 10</w:t>
            </w:r>
            <w:r w:rsidRPr="00704236">
              <w:rPr>
                <w:vertAlign w:val="superscript"/>
              </w:rPr>
              <w:t>–23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4 × 10</w:t>
            </w:r>
            <w:r w:rsidRPr="00704236">
              <w:rPr>
                <w:vertAlign w:val="superscript"/>
              </w:rPr>
              <w:t>–11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>
            <w:r w:rsidRPr="00704236">
              <w:t>Ostwald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>… NH</w:t>
            </w:r>
            <w:r w:rsidRPr="00704236">
              <w:rPr>
                <w:vertAlign w:val="subscript"/>
              </w:rPr>
              <w:t>3</w:t>
            </w:r>
            <w:r w:rsidRPr="00704236">
              <w:t xml:space="preserve">  +  … </w:t>
            </w:r>
            <w:proofErr w:type="gramStart"/>
            <w:r w:rsidRPr="00704236">
              <w:t>O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 id="_x0000_i1028" type="#_x0000_t75" style="width:17.55pt;height:12.9pt" o:ole="">
                  <v:imagedata r:id="rId16" o:title=""/>
                </v:shape>
                <o:OLEObject Type="Embed" ProgID="Equation.3" ShapeID="_x0000_i1028" DrawAspect="Content" ObjectID="_1373375745" r:id="rId17"/>
              </w:object>
            </w:r>
            <w:r w:rsidRPr="00704236">
              <w:t xml:space="preserve">  … NO  +  … H</w:t>
            </w:r>
            <w:r w:rsidRPr="00704236">
              <w:rPr>
                <w:vertAlign w:val="subscript"/>
              </w:rPr>
              <w:t>2</w:t>
            </w:r>
            <w:r w:rsidRPr="0070423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–905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 xml:space="preserve">&gt;1 </w:t>
            </w:r>
            <w:r w:rsidR="001E73A4" w:rsidRPr="00704236">
              <w:t>×</w:t>
            </w:r>
            <w:r w:rsidRPr="00704236">
              <w:t xml:space="preserve"> 10</w:t>
            </w:r>
            <w:r w:rsidRPr="00704236">
              <w:rPr>
                <w:vertAlign w:val="superscript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9 × 10</w:t>
            </w:r>
            <w:r w:rsidRPr="00704236">
              <w:rPr>
                <w:vertAlign w:val="superscript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704236">
            <w:pPr>
              <w:spacing w:line="240" w:lineRule="auto"/>
            </w:pPr>
            <w:r w:rsidRPr="00704236">
              <w:t>Industrial ethanol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>… C</w:t>
            </w:r>
            <w:r w:rsidRPr="00704236">
              <w:rPr>
                <w:vertAlign w:val="subscript"/>
              </w:rPr>
              <w:t>2</w:t>
            </w:r>
            <w:r w:rsidRPr="00704236">
              <w:t>H</w:t>
            </w:r>
            <w:r w:rsidRPr="00704236">
              <w:rPr>
                <w:vertAlign w:val="subscript"/>
              </w:rPr>
              <w:t>4</w:t>
            </w:r>
            <w:r w:rsidRPr="00704236">
              <w:t xml:space="preserve">  +  … </w:t>
            </w:r>
            <w:proofErr w:type="gramStart"/>
            <w:r w:rsidRPr="00704236">
              <w:t>H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O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 id="_x0000_i1029" type="#_x0000_t75" style="width:17.55pt;height:12.9pt" o:ole="">
                  <v:imagedata r:id="rId18" o:title=""/>
                </v:shape>
                <o:OLEObject Type="Embed" ProgID="Equation.3" ShapeID="_x0000_i1029" DrawAspect="Content" ObjectID="_1373375746" r:id="rId19"/>
              </w:object>
            </w:r>
            <w:r w:rsidRPr="00704236">
              <w:t xml:space="preserve">  … C</w:t>
            </w:r>
            <w:r w:rsidRPr="00704236">
              <w:rPr>
                <w:vertAlign w:val="subscript"/>
              </w:rPr>
              <w:t>2</w:t>
            </w:r>
            <w:r w:rsidRPr="00704236">
              <w:t>H</w:t>
            </w:r>
            <w:r w:rsidRPr="00704236">
              <w:rPr>
                <w:vertAlign w:val="subscript"/>
              </w:rPr>
              <w:t>5</w:t>
            </w:r>
            <w:r w:rsidRPr="00704236">
              <w:t>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–45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2 × 10</w:t>
            </w:r>
            <w:r w:rsidRPr="00704236">
              <w:rPr>
                <w:vertAlign w:val="superscrip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2 × 10</w:t>
            </w:r>
            <w:r w:rsidRPr="00704236">
              <w:rPr>
                <w:vertAlign w:val="superscrip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>
            <w:r w:rsidRPr="00704236">
              <w:t>Deacon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 xml:space="preserve">… </w:t>
            </w:r>
            <w:proofErr w:type="spellStart"/>
            <w:r w:rsidRPr="00704236">
              <w:t>HC</w:t>
            </w:r>
            <w:r w:rsidRPr="00704236">
              <w:rPr>
                <w:rFonts w:ascii="Bookman Old Style" w:hAnsi="Bookman Old Style"/>
                <w:i/>
              </w:rPr>
              <w:t>l</w:t>
            </w:r>
            <w:proofErr w:type="spellEnd"/>
            <w:r w:rsidRPr="00704236">
              <w:t xml:space="preserve">  +  … </w:t>
            </w:r>
            <w:proofErr w:type="gramStart"/>
            <w:r w:rsidRPr="00704236">
              <w:t>O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 id="_x0000_i1030" type="#_x0000_t75" style="width:17.55pt;height:12.9pt" o:ole="">
                  <v:imagedata r:id="rId20" o:title=""/>
                </v:shape>
                <o:OLEObject Type="Embed" ProgID="Equation.3" ShapeID="_x0000_i1030" DrawAspect="Content" ObjectID="_1373375747" r:id="rId21"/>
              </w:object>
            </w:r>
            <w:r w:rsidRPr="00704236">
              <w:t xml:space="preserve">  … C</w:t>
            </w:r>
            <w:r w:rsidRPr="00704236">
              <w:rPr>
                <w:rFonts w:ascii="Bookman Old Style" w:hAnsi="Bookman Old Style"/>
                <w:i/>
              </w:rPr>
              <w:t>l</w:t>
            </w:r>
            <w:r w:rsidRPr="00704236">
              <w:rPr>
                <w:vertAlign w:val="subscript"/>
              </w:rPr>
              <w:t>2</w:t>
            </w:r>
            <w:r w:rsidRPr="00704236">
              <w:t xml:space="preserve">  +  … H</w:t>
            </w:r>
            <w:r w:rsidRPr="00704236">
              <w:rPr>
                <w:vertAlign w:val="subscript"/>
              </w:rPr>
              <w:t>2</w:t>
            </w:r>
            <w:r w:rsidRPr="0070423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–117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2 × 10</w:t>
            </w:r>
            <w:r w:rsidRPr="00704236">
              <w:rPr>
                <w:vertAlign w:val="superscrip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1 × 10</w:t>
            </w:r>
            <w:r w:rsidRPr="00704236">
              <w:rPr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  <w:tr w:rsidR="00704236">
        <w:trPr>
          <w:trHeight w:val="11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>
            <w:proofErr w:type="spellStart"/>
            <w:r w:rsidRPr="00704236">
              <w:t>Cativa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EF2415">
            <w:r w:rsidRPr="00704236">
              <w:t xml:space="preserve">… CO  +  … </w:t>
            </w:r>
            <w:proofErr w:type="gramStart"/>
            <w:r w:rsidRPr="00704236">
              <w:t>CH</w:t>
            </w:r>
            <w:r w:rsidRPr="00704236">
              <w:rPr>
                <w:vertAlign w:val="subscript"/>
              </w:rPr>
              <w:t>3</w:t>
            </w:r>
            <w:r w:rsidRPr="00704236">
              <w:t xml:space="preserve">OH  </w:t>
            </w:r>
            <w:proofErr w:type="gramEnd"/>
            <w:r w:rsidRPr="00704236">
              <w:rPr>
                <w:rFonts w:ascii="Times New Roman" w:hAnsi="Times New Roman" w:cstheme="minorBidi"/>
                <w:position w:val="-8"/>
                <w:sz w:val="23"/>
                <w:szCs w:val="23"/>
                <w:lang w:val="en-US"/>
              </w:rPr>
              <w:object w:dxaOrig="345" w:dyaOrig="255">
                <v:shape id="_x0000_i1031" type="#_x0000_t75" style="width:17.55pt;height:12.9pt" o:ole="">
                  <v:imagedata r:id="rId22" o:title=""/>
                </v:shape>
                <o:OLEObject Type="Embed" ProgID="Equation.3" ShapeID="_x0000_i1031" DrawAspect="Content" ObjectID="_1373375748" r:id="rId23"/>
              </w:object>
            </w:r>
            <w:r w:rsidRPr="00704236">
              <w:t xml:space="preserve">  … CH</w:t>
            </w:r>
            <w:r w:rsidRPr="00704236">
              <w:rPr>
                <w:vertAlign w:val="subscript"/>
              </w:rPr>
              <w:t>3</w:t>
            </w:r>
            <w:r w:rsidRPr="00704236">
              <w:t>COOH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tabs>
                <w:tab w:val="decimal" w:pos="601"/>
              </w:tabs>
              <w:jc w:val="center"/>
            </w:pPr>
            <w:r w:rsidRPr="00704236">
              <w:t>–137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5 × 10</w:t>
            </w:r>
            <w:r w:rsidRPr="00704236">
              <w:rPr>
                <w:vertAlign w:val="superscrip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6" w:rsidRPr="00704236" w:rsidRDefault="00704236" w:rsidP="00704236">
            <w:pPr>
              <w:jc w:val="center"/>
            </w:pPr>
            <w:r w:rsidRPr="00704236">
              <w:t>7 × 10</w:t>
            </w:r>
            <w:r w:rsidRPr="00704236">
              <w:rPr>
                <w:vertAlign w:val="superscrip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6" w:rsidRPr="00704236" w:rsidRDefault="00704236" w:rsidP="00A213E6"/>
        </w:tc>
      </w:tr>
    </w:tbl>
    <w:p w:rsidR="000C177C" w:rsidRDefault="000C177C" w:rsidP="008C3663">
      <w:pPr>
        <w:tabs>
          <w:tab w:val="left" w:pos="3079"/>
        </w:tabs>
        <w:spacing w:before="120" w:after="120"/>
        <w:rPr>
          <w:rFonts w:cs="Arial"/>
        </w:rPr>
      </w:pPr>
    </w:p>
    <w:p w:rsidR="000C177C" w:rsidRDefault="000C177C" w:rsidP="000C177C">
      <w:pPr>
        <w:rPr>
          <w:b/>
        </w:rPr>
      </w:pPr>
      <w:r>
        <w:rPr>
          <w:b/>
        </w:rPr>
        <w:t>Table 2</w:t>
      </w:r>
    </w:p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1276"/>
        <w:gridCol w:w="1276"/>
        <w:gridCol w:w="3402"/>
        <w:gridCol w:w="3969"/>
        <w:gridCol w:w="1559"/>
        <w:gridCol w:w="1843"/>
        <w:gridCol w:w="1984"/>
      </w:tblGrid>
      <w:tr w:rsidR="000C17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>Process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rFonts w:cstheme="minorHAnsi"/>
                <w:b/>
              </w:rPr>
              <w:t>∆</w:t>
            </w:r>
            <w:proofErr w:type="spellStart"/>
            <w:r w:rsidRPr="000C177C">
              <w:rPr>
                <w:rFonts w:cstheme="minorHAnsi"/>
                <w:b/>
                <w:vertAlign w:val="subscript"/>
              </w:rPr>
              <w:t>r</w:t>
            </w:r>
            <w:r w:rsidRPr="000C177C">
              <w:rPr>
                <w:b/>
                <w:i/>
              </w:rPr>
              <w:t>H</w:t>
            </w:r>
            <w:proofErr w:type="spellEnd"/>
            <w:r w:rsidRPr="000C177C">
              <w:rPr>
                <w:b/>
              </w:rPr>
              <w:t xml:space="preserve"> / kJ</w:t>
            </w:r>
            <w:r w:rsidRPr="000C177C">
              <w:rPr>
                <w:rFonts w:ascii="Cambria Math" w:hAnsi="Cambria Math"/>
                <w:b/>
              </w:rPr>
              <w:t> </w:t>
            </w:r>
            <w:r w:rsidRPr="000C177C">
              <w:rPr>
                <w:b/>
              </w:rPr>
              <w:t>mol</w:t>
            </w:r>
            <w:r w:rsidRPr="000C177C">
              <w:rPr>
                <w:b/>
                <w:vertAlign w:val="superscript"/>
              </w:rPr>
              <w:t>–1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>Temperature for high yield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>Pressure for high yield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 xml:space="preserve">Actual temperature / </w:t>
            </w:r>
            <w:proofErr w:type="spellStart"/>
            <w:r w:rsidRPr="000C177C">
              <w:rPr>
                <w:b/>
                <w:vertAlign w:val="superscript"/>
              </w:rPr>
              <w:t>o</w:t>
            </w:r>
            <w:r w:rsidRPr="000C177C">
              <w:rPr>
                <w:b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>Actual pressure /</w:t>
            </w:r>
          </w:p>
          <w:p w:rsidR="000C177C" w:rsidRPr="000C177C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>× 10</w:t>
            </w:r>
            <w:r w:rsidRPr="000C177C">
              <w:rPr>
                <w:b/>
                <w:vertAlign w:val="superscript"/>
              </w:rPr>
              <w:t>5</w:t>
            </w:r>
            <w:r w:rsidRPr="000C177C">
              <w:rPr>
                <w:b/>
              </w:rPr>
              <w:t xml:space="preserve"> 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:rsidR="000C177C" w:rsidRPr="001C08EA" w:rsidRDefault="000C177C" w:rsidP="000C177C">
            <w:pPr>
              <w:spacing w:line="240" w:lineRule="auto"/>
              <w:jc w:val="center"/>
              <w:rPr>
                <w:b/>
              </w:rPr>
            </w:pPr>
            <w:r w:rsidRPr="000C177C">
              <w:rPr>
                <w:b/>
              </w:rPr>
              <w:t>Catalyst</w:t>
            </w:r>
          </w:p>
        </w:tc>
      </w:tr>
      <w:tr w:rsidR="000C177C" w:rsidRP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>
            <w:r w:rsidRPr="000C177C">
              <w:t>Haber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jc w:val="center"/>
            </w:pPr>
            <w:r w:rsidRPr="000C177C">
              <w:t>–92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jc w:val="center"/>
            </w:pPr>
            <w:r w:rsidRPr="000C177C"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jc w:val="center"/>
            </w:pPr>
            <w:r w:rsidRPr="000C177C"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jc w:val="center"/>
            </w:pPr>
            <w:r w:rsidRPr="000C177C">
              <w:t>Fe</w:t>
            </w:r>
          </w:p>
        </w:tc>
      </w:tr>
      <w:tr w:rsidR="000C177C" w:rsidRP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>
            <w:r w:rsidRPr="000C177C">
              <w:t>Contact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jc w:val="center"/>
            </w:pPr>
            <w:r w:rsidRPr="000C177C">
              <w:t>–196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jc w:val="center"/>
            </w:pPr>
            <w:r w:rsidRPr="000C177C"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jc w:val="center"/>
            </w:pPr>
            <w:r w:rsidRPr="000C177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jc w:val="center"/>
            </w:pPr>
            <w:r w:rsidRPr="000C177C">
              <w:t>V</w:t>
            </w:r>
            <w:r w:rsidRPr="000C177C">
              <w:rPr>
                <w:vertAlign w:val="subscript"/>
              </w:rPr>
              <w:t>2</w:t>
            </w:r>
            <w:r w:rsidRPr="000C177C">
              <w:t>O</w:t>
            </w:r>
            <w:r w:rsidRPr="000C177C">
              <w:rPr>
                <w:vertAlign w:val="subscript"/>
              </w:rPr>
              <w:t>5</w:t>
            </w:r>
          </w:p>
        </w:tc>
      </w:tr>
      <w:tr w:rsidR="000C177C" w:rsidRP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0C177C">
            <w:pPr>
              <w:spacing w:line="240" w:lineRule="auto"/>
            </w:pPr>
            <w:proofErr w:type="spellStart"/>
            <w:r w:rsidRPr="000C177C">
              <w:t>Birkeland</w:t>
            </w:r>
            <w:proofErr w:type="spellEnd"/>
            <w:r w:rsidRPr="000C177C">
              <w:t>–</w:t>
            </w:r>
            <w:proofErr w:type="spellStart"/>
            <w:r w:rsidRPr="000C177C">
              <w:t>Eyde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spacing w:line="240" w:lineRule="auto"/>
              <w:jc w:val="center"/>
            </w:pPr>
            <w:r w:rsidRPr="000C177C">
              <w:t>+180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0C177C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0C177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spacing w:line="240" w:lineRule="auto"/>
              <w:jc w:val="center"/>
            </w:pPr>
            <w:r w:rsidRPr="000C177C"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spacing w:line="240" w:lineRule="auto"/>
              <w:jc w:val="center"/>
            </w:pPr>
            <w:r w:rsidRPr="000C177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</w:pPr>
            <w:r w:rsidRPr="000C177C">
              <w:t>None</w:t>
            </w:r>
          </w:p>
        </w:tc>
      </w:tr>
      <w:tr w:rsidR="000C177C" w:rsidRP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>
            <w:r w:rsidRPr="000C177C">
              <w:t>Ostwald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jc w:val="center"/>
            </w:pPr>
            <w:r w:rsidRPr="000C177C">
              <w:t>–905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jc w:val="center"/>
            </w:pPr>
            <w:r w:rsidRPr="000C177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jc w:val="center"/>
            </w:pPr>
            <w:r w:rsidRPr="000C177C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jc w:val="center"/>
            </w:pPr>
            <w:r w:rsidRPr="000C177C">
              <w:t>Pt</w:t>
            </w:r>
          </w:p>
        </w:tc>
      </w:tr>
      <w:tr w:rsidR="000C177C" w:rsidRP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0C177C">
            <w:pPr>
              <w:spacing w:line="240" w:lineRule="auto"/>
            </w:pPr>
            <w:r w:rsidRPr="000C177C">
              <w:t>Industrial ethanol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spacing w:line="240" w:lineRule="auto"/>
              <w:jc w:val="center"/>
            </w:pPr>
            <w:r w:rsidRPr="000C177C">
              <w:t>–45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0C177C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0C177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spacing w:line="240" w:lineRule="auto"/>
              <w:jc w:val="center"/>
            </w:pPr>
            <w:r w:rsidRPr="000C177C"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spacing w:line="240" w:lineRule="auto"/>
              <w:jc w:val="center"/>
            </w:pPr>
            <w:r w:rsidRPr="000C177C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spacing w:line="240" w:lineRule="auto"/>
              <w:jc w:val="center"/>
            </w:pPr>
            <w:r w:rsidRPr="000C177C">
              <w:t>H</w:t>
            </w:r>
            <w:r w:rsidRPr="000C177C">
              <w:rPr>
                <w:vertAlign w:val="subscript"/>
              </w:rPr>
              <w:t>3</w:t>
            </w:r>
            <w:r w:rsidRPr="000C177C">
              <w:t>PO</w:t>
            </w:r>
            <w:r w:rsidRPr="000C177C">
              <w:rPr>
                <w:vertAlign w:val="subscript"/>
              </w:rPr>
              <w:t>4</w:t>
            </w:r>
          </w:p>
        </w:tc>
      </w:tr>
      <w:tr w:rsidR="000C177C" w:rsidRP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>
            <w:r w:rsidRPr="000C177C">
              <w:t>Deacon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jc w:val="center"/>
            </w:pPr>
            <w:r w:rsidRPr="000C177C">
              <w:t>–117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jc w:val="center"/>
            </w:pPr>
            <w:r w:rsidRPr="000C177C"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jc w:val="center"/>
            </w:pPr>
            <w:r w:rsidRPr="000C177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jc w:val="center"/>
            </w:pPr>
            <w:r w:rsidRPr="000C177C">
              <w:t>RuO</w:t>
            </w:r>
            <w:r w:rsidRPr="000C177C">
              <w:rPr>
                <w:vertAlign w:val="subscript"/>
              </w:rPr>
              <w:t>2</w:t>
            </w:r>
          </w:p>
        </w:tc>
      </w:tr>
      <w:tr w:rsidR="000C177C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>
            <w:proofErr w:type="spellStart"/>
            <w:r w:rsidRPr="000C177C">
              <w:t>Cativa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743"/>
              </w:tabs>
              <w:jc w:val="center"/>
            </w:pPr>
            <w:r w:rsidRPr="000C177C">
              <w:t>–137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C" w:rsidRPr="000C177C" w:rsidRDefault="000C177C" w:rsidP="00A213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1026"/>
              </w:tabs>
              <w:jc w:val="center"/>
            </w:pPr>
            <w:r w:rsidRPr="000C177C"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Pr="000C177C" w:rsidRDefault="000C177C" w:rsidP="000C177C">
            <w:pPr>
              <w:tabs>
                <w:tab w:val="decimal" w:pos="860"/>
              </w:tabs>
              <w:jc w:val="center"/>
            </w:pPr>
            <w:r w:rsidRPr="000C177C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C" w:rsidRDefault="000C177C" w:rsidP="000C177C">
            <w:pPr>
              <w:jc w:val="center"/>
            </w:pPr>
            <w:r w:rsidRPr="000C177C">
              <w:rPr>
                <w:rFonts w:ascii="Verdana" w:hAnsi="Verdana"/>
              </w:rPr>
              <w:t>I</w:t>
            </w:r>
            <w:r w:rsidRPr="000C177C">
              <w:t>rC</w:t>
            </w:r>
            <w:r w:rsidRPr="000C177C">
              <w:rPr>
                <w:rFonts w:ascii="Bookman Old Style" w:hAnsi="Bookman Old Style"/>
                <w:i/>
              </w:rPr>
              <w:t>l</w:t>
            </w:r>
            <w:r w:rsidRPr="000C177C">
              <w:rPr>
                <w:vertAlign w:val="subscript"/>
              </w:rPr>
              <w:t>4</w:t>
            </w:r>
          </w:p>
        </w:tc>
      </w:tr>
    </w:tbl>
    <w:p w:rsidR="003D70C5" w:rsidRDefault="003D70C5" w:rsidP="008C3663">
      <w:pPr>
        <w:tabs>
          <w:tab w:val="left" w:pos="3079"/>
        </w:tabs>
        <w:spacing w:before="120" w:after="120"/>
        <w:rPr>
          <w:rFonts w:cs="Arial"/>
        </w:rPr>
      </w:pPr>
    </w:p>
    <w:sectPr w:rsidR="003D70C5" w:rsidSect="002F3A55">
      <w:headerReference w:type="default" r:id="rId24"/>
      <w:footerReference w:type="default" r:id="rId25"/>
      <w:pgSz w:w="16840" w:h="11901" w:orient="landscape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B1" w:rsidRDefault="001372B1" w:rsidP="00246764">
      <w:pPr>
        <w:spacing w:line="240" w:lineRule="auto"/>
      </w:pPr>
      <w:r>
        <w:separator/>
      </w:r>
    </w:p>
  </w:endnote>
  <w:endnote w:type="continuationSeparator" w:id="0">
    <w:p w:rsidR="001372B1" w:rsidRDefault="001372B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altName w:val="Arial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altName w:val="Monaco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71" w:rsidRPr="00B026DE" w:rsidRDefault="00131871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20"/>
      </w:rPr>
      <w:t>August 2015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71" w:rsidRPr="00B026DE" w:rsidRDefault="002F3A55" w:rsidP="002F3A55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935" distR="114935" simplePos="0" relativeHeight="251672576" behindDoc="1" locked="0" layoutInCell="1" allowOverlap="1">
          <wp:simplePos x="0" y="0"/>
          <wp:positionH relativeFrom="page">
            <wp:posOffset>-1104</wp:posOffset>
          </wp:positionH>
          <wp:positionV relativeFrom="page">
            <wp:posOffset>7089913</wp:posOffset>
          </wp:positionV>
          <wp:extent cx="10772944" cy="544700"/>
          <wp:effectExtent l="2540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land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944" cy="54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871">
      <w:rPr>
        <w:noProof/>
        <w:sz w:val="20"/>
        <w:szCs w:val="20"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871">
      <w:rPr>
        <w:sz w:val="16"/>
        <w:szCs w:val="20"/>
      </w:rPr>
      <w:t>August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B1" w:rsidRDefault="001372B1" w:rsidP="00246764">
      <w:pPr>
        <w:spacing w:line="240" w:lineRule="auto"/>
      </w:pPr>
      <w:r>
        <w:separator/>
      </w:r>
    </w:p>
  </w:footnote>
  <w:footnote w:type="continuationSeparator" w:id="0">
    <w:p w:rsidR="001372B1" w:rsidRDefault="001372B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71" w:rsidRDefault="00131871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71" w:rsidRDefault="00131871" w:rsidP="00424CC9">
    <w:pPr>
      <w:pStyle w:val="Header"/>
      <w:tabs>
        <w:tab w:val="clear" w:pos="4513"/>
        <w:tab w:val="clear" w:pos="9026"/>
        <w:tab w:val="left" w:pos="6807"/>
      </w:tabs>
    </w:pPr>
    <w:r w:rsidRPr="00131871"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-450215</wp:posOffset>
          </wp:positionV>
          <wp:extent cx="10738031" cy="725714"/>
          <wp:effectExtent l="0" t="0" r="2540" b="0"/>
          <wp:wrapTight wrapText="bothSides">
            <wp:wrapPolygon edited="0">
              <wp:start x="0" y="0"/>
              <wp:lineTo x="0" y="21032"/>
              <wp:lineTo x="21567" y="21032"/>
              <wp:lineTo x="21567" y="0"/>
              <wp:lineTo x="0" y="0"/>
            </wp:wrapPolygon>
          </wp:wrapTight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vel_ChemB_A4_land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C18"/>
    <w:multiLevelType w:val="hybridMultilevel"/>
    <w:tmpl w:val="10D04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E5BE7"/>
    <w:multiLevelType w:val="hybridMultilevel"/>
    <w:tmpl w:val="48647F36"/>
    <w:lvl w:ilvl="0" w:tplc="C8E21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20B3"/>
    <w:multiLevelType w:val="hybridMultilevel"/>
    <w:tmpl w:val="38DA6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2711C"/>
    <w:multiLevelType w:val="hybridMultilevel"/>
    <w:tmpl w:val="2C4C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6A71"/>
    <w:multiLevelType w:val="hybridMultilevel"/>
    <w:tmpl w:val="CF6E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07307"/>
    <w:multiLevelType w:val="hybridMultilevel"/>
    <w:tmpl w:val="31DE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47E0F"/>
    <w:multiLevelType w:val="hybridMultilevel"/>
    <w:tmpl w:val="A83A3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389D"/>
    <w:multiLevelType w:val="hybridMultilevel"/>
    <w:tmpl w:val="5AE0AE26"/>
    <w:lvl w:ilvl="0" w:tplc="DCF89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26E14"/>
    <w:multiLevelType w:val="hybridMultilevel"/>
    <w:tmpl w:val="01D0E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3D7"/>
    <w:multiLevelType w:val="hybridMultilevel"/>
    <w:tmpl w:val="AD064AF8"/>
    <w:lvl w:ilvl="0" w:tplc="25208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C6318"/>
    <w:multiLevelType w:val="hybridMultilevel"/>
    <w:tmpl w:val="31E21EA4"/>
    <w:lvl w:ilvl="0" w:tplc="0BB21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0C177C"/>
    <w:rsid w:val="00101B39"/>
    <w:rsid w:val="00102BF8"/>
    <w:rsid w:val="00112E4F"/>
    <w:rsid w:val="00131871"/>
    <w:rsid w:val="001372B1"/>
    <w:rsid w:val="00181E59"/>
    <w:rsid w:val="00196631"/>
    <w:rsid w:val="001B0349"/>
    <w:rsid w:val="001B69C5"/>
    <w:rsid w:val="001E73A4"/>
    <w:rsid w:val="002106B8"/>
    <w:rsid w:val="0022722A"/>
    <w:rsid w:val="00231BDB"/>
    <w:rsid w:val="00246764"/>
    <w:rsid w:val="00274D6E"/>
    <w:rsid w:val="00280654"/>
    <w:rsid w:val="002E7A7D"/>
    <w:rsid w:val="002E7B5E"/>
    <w:rsid w:val="002F1027"/>
    <w:rsid w:val="002F3A55"/>
    <w:rsid w:val="00356BC5"/>
    <w:rsid w:val="00380F6F"/>
    <w:rsid w:val="003D70C5"/>
    <w:rsid w:val="003E6BA6"/>
    <w:rsid w:val="00404FE6"/>
    <w:rsid w:val="00424CC9"/>
    <w:rsid w:val="00446F37"/>
    <w:rsid w:val="00466501"/>
    <w:rsid w:val="004735FC"/>
    <w:rsid w:val="00482205"/>
    <w:rsid w:val="00485720"/>
    <w:rsid w:val="00493D16"/>
    <w:rsid w:val="004A75D7"/>
    <w:rsid w:val="004D0E3B"/>
    <w:rsid w:val="004D17B9"/>
    <w:rsid w:val="005007AC"/>
    <w:rsid w:val="00521E7E"/>
    <w:rsid w:val="00562750"/>
    <w:rsid w:val="005649D5"/>
    <w:rsid w:val="00570C24"/>
    <w:rsid w:val="00583A2D"/>
    <w:rsid w:val="005966F5"/>
    <w:rsid w:val="005A20FD"/>
    <w:rsid w:val="005B5896"/>
    <w:rsid w:val="005C4284"/>
    <w:rsid w:val="005F410F"/>
    <w:rsid w:val="00621CD7"/>
    <w:rsid w:val="006245F5"/>
    <w:rsid w:val="00640DAE"/>
    <w:rsid w:val="00641327"/>
    <w:rsid w:val="00644825"/>
    <w:rsid w:val="006F77AC"/>
    <w:rsid w:val="00704236"/>
    <w:rsid w:val="0072464A"/>
    <w:rsid w:val="0073732F"/>
    <w:rsid w:val="007412BA"/>
    <w:rsid w:val="007473DB"/>
    <w:rsid w:val="00750659"/>
    <w:rsid w:val="00750EBD"/>
    <w:rsid w:val="00751CF3"/>
    <w:rsid w:val="007940A2"/>
    <w:rsid w:val="007D3F0A"/>
    <w:rsid w:val="007D6744"/>
    <w:rsid w:val="007F0114"/>
    <w:rsid w:val="00843864"/>
    <w:rsid w:val="00870235"/>
    <w:rsid w:val="008748A5"/>
    <w:rsid w:val="00891328"/>
    <w:rsid w:val="008C3663"/>
    <w:rsid w:val="008C3843"/>
    <w:rsid w:val="008D45E9"/>
    <w:rsid w:val="008F75E0"/>
    <w:rsid w:val="00937247"/>
    <w:rsid w:val="00966AC7"/>
    <w:rsid w:val="009776C8"/>
    <w:rsid w:val="009820D7"/>
    <w:rsid w:val="009B3E80"/>
    <w:rsid w:val="00A11F43"/>
    <w:rsid w:val="00A17CB0"/>
    <w:rsid w:val="00A340C4"/>
    <w:rsid w:val="00A453A2"/>
    <w:rsid w:val="00A90D1A"/>
    <w:rsid w:val="00AC37B5"/>
    <w:rsid w:val="00AC635E"/>
    <w:rsid w:val="00AE4819"/>
    <w:rsid w:val="00AE53FC"/>
    <w:rsid w:val="00B026DE"/>
    <w:rsid w:val="00B175A7"/>
    <w:rsid w:val="00B76F78"/>
    <w:rsid w:val="00BE0359"/>
    <w:rsid w:val="00BE359E"/>
    <w:rsid w:val="00C31191"/>
    <w:rsid w:val="00C34B91"/>
    <w:rsid w:val="00C6380A"/>
    <w:rsid w:val="00C67DE6"/>
    <w:rsid w:val="00C8681F"/>
    <w:rsid w:val="00CC0C67"/>
    <w:rsid w:val="00D173F7"/>
    <w:rsid w:val="00D66263"/>
    <w:rsid w:val="00D812B5"/>
    <w:rsid w:val="00D93E3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EC637D"/>
    <w:rsid w:val="00F10545"/>
    <w:rsid w:val="00F37A1D"/>
    <w:rsid w:val="00F47A51"/>
    <w:rsid w:val="00FC4D70"/>
    <w:rsid w:val="00FD23FC"/>
    <w:rsid w:val="00FE2259"/>
    <w:rsid w:val="00FE65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8.emf"/><Relationship Id="rId21" Type="http://schemas.openxmlformats.org/officeDocument/2006/relationships/oleObject" Target="embeddings/oleObject6.bin"/><Relationship Id="rId22" Type="http://schemas.openxmlformats.org/officeDocument/2006/relationships/image" Target="media/image9.emf"/><Relationship Id="rId23" Type="http://schemas.openxmlformats.org/officeDocument/2006/relationships/oleObject" Target="embeddings/oleObject7.bin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emf"/><Relationship Id="rId11" Type="http://schemas.openxmlformats.org/officeDocument/2006/relationships/oleObject" Target="embeddings/oleObject1.bin"/><Relationship Id="rId12" Type="http://schemas.openxmlformats.org/officeDocument/2006/relationships/image" Target="media/image4.emf"/><Relationship Id="rId13" Type="http://schemas.openxmlformats.org/officeDocument/2006/relationships/oleObject" Target="embeddings/oleObject2.bin"/><Relationship Id="rId14" Type="http://schemas.openxmlformats.org/officeDocument/2006/relationships/image" Target="media/image5.emf"/><Relationship Id="rId15" Type="http://schemas.openxmlformats.org/officeDocument/2006/relationships/oleObject" Target="embeddings/oleObject3.bin"/><Relationship Id="rId16" Type="http://schemas.openxmlformats.org/officeDocument/2006/relationships/image" Target="media/image6.emf"/><Relationship Id="rId17" Type="http://schemas.openxmlformats.org/officeDocument/2006/relationships/oleObject" Target="embeddings/oleObject4.bin"/><Relationship Id="rId18" Type="http://schemas.openxmlformats.org/officeDocument/2006/relationships/image" Target="media/image7.emf"/><Relationship Id="rId1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9D0E-D05C-C148-84B4-23C6330A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2480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2015-07-07T16:49:00Z</cp:lastPrinted>
  <dcterms:created xsi:type="dcterms:W3CDTF">2015-07-27T15:28:00Z</dcterms:created>
  <dcterms:modified xsi:type="dcterms:W3CDTF">2015-07-27T15:28:00Z</dcterms:modified>
</cp:coreProperties>
</file>