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2B19EE" w:rsidRDefault="00E65434" w:rsidP="002B19EE">
      <w:pPr>
        <w:pStyle w:val="Heading1"/>
      </w:pPr>
      <w:r w:rsidRPr="002B19EE">
        <w:t>Unit Y</w:t>
      </w:r>
      <w:r w:rsidR="00EF3A6E" w:rsidRPr="002B19EE">
        <w:t>321</w:t>
      </w:r>
      <w:r w:rsidRPr="002B19EE">
        <w:t xml:space="preserve">: </w:t>
      </w:r>
      <w:r w:rsidR="00EF3A6E" w:rsidRPr="002B19EE">
        <w:t>THE MIDDLE EAST 1908-2011</w:t>
      </w:r>
    </w:p>
    <w:p w:rsidR="00E65434" w:rsidRPr="002B19EE" w:rsidRDefault="00AB58FB" w:rsidP="00E65434">
      <w:pPr>
        <w:rPr>
          <w:caps/>
          <w:color w:val="000000" w:themeColor="text1"/>
        </w:rPr>
      </w:pPr>
      <w:r w:rsidRPr="002B19EE">
        <w:rPr>
          <w:caps/>
          <w:color w:val="000000" w:themeColor="text1"/>
        </w:rPr>
        <w:t>Note: Based on 3</w:t>
      </w:r>
      <w:r w:rsidR="002E0B65" w:rsidRPr="002B19EE">
        <w:rPr>
          <w:caps/>
          <w:color w:val="000000" w:themeColor="text1"/>
        </w:rPr>
        <w:t xml:space="preserve"> </w:t>
      </w:r>
      <w:r w:rsidR="00E65434" w:rsidRPr="002B19EE">
        <w:rPr>
          <w:caps/>
          <w:color w:val="000000" w:themeColor="text1"/>
        </w:rPr>
        <w:t>x 50 minute lessons per week</w:t>
      </w:r>
    </w:p>
    <w:p w:rsidR="00462B65" w:rsidRPr="002B19EE" w:rsidRDefault="00E65434" w:rsidP="00E65434">
      <w:pPr>
        <w:rPr>
          <w:caps/>
          <w:color w:val="000000" w:themeColor="text1"/>
        </w:rPr>
      </w:pPr>
      <w:r w:rsidRPr="002B19EE">
        <w:rPr>
          <w:caps/>
          <w:color w:val="000000" w:themeColor="text1"/>
        </w:rPr>
        <w:t>Terms based on 6 term year.</w:t>
      </w:r>
    </w:p>
    <w:p w:rsidR="002B19EE" w:rsidRDefault="00B31188" w:rsidP="008E5637">
      <w:pPr>
        <w:rPr>
          <w:color w:val="000000"/>
        </w:rPr>
      </w:pPr>
      <w:r w:rsidRPr="002B19EE">
        <w:rPr>
          <w:color w:val="000000"/>
        </w:rPr>
        <w:t>This theme focuses on Middle Eastern develop</w:t>
      </w:r>
      <w:r w:rsidR="007C3B76" w:rsidRPr="002B19EE">
        <w:rPr>
          <w:color w:val="000000"/>
        </w:rPr>
        <w:t>ments from the last years of the Ottoman Empire through the creation of Mand</w:t>
      </w:r>
      <w:r w:rsidR="00A00EF2" w:rsidRPr="002B19EE">
        <w:rPr>
          <w:color w:val="000000"/>
        </w:rPr>
        <w:t>ates and successor states, their rivalries, the vision of pan-Arabism and popular forces and to the regional and civil wars of the period 1908-2011</w:t>
      </w:r>
      <w:r w:rsidR="0000396E" w:rsidRPr="002B19EE">
        <w:rPr>
          <w:color w:val="000000"/>
        </w:rPr>
        <w:t xml:space="preserve">. </w:t>
      </w:r>
      <w:r w:rsidR="0000396E" w:rsidRPr="002B19EE">
        <w:rPr>
          <w:b/>
          <w:color w:val="000000"/>
        </w:rPr>
        <w:t>Learners are not expected to demonstrate a detailed understanding of the specification content, except for the named in-depth studies, but are expected to know the main developments and turning points relevant to the theme</w:t>
      </w:r>
      <w:r w:rsidR="0000396E" w:rsidRPr="002B19EE">
        <w:rPr>
          <w:color w:val="000000"/>
        </w:rPr>
        <w:t>.</w:t>
      </w:r>
    </w:p>
    <w:tbl>
      <w:tblPr>
        <w:tblStyle w:val="TableGrid"/>
        <w:tblW w:w="0" w:type="auto"/>
        <w:tblLook w:val="04A0" w:firstRow="1" w:lastRow="0" w:firstColumn="1" w:lastColumn="0" w:noHBand="0" w:noVBand="1"/>
        <w:tblCaption w:val="Y321 SOW table"/>
      </w:tblPr>
      <w:tblGrid>
        <w:gridCol w:w="2731"/>
        <w:gridCol w:w="1759"/>
        <w:gridCol w:w="2547"/>
        <w:gridCol w:w="4119"/>
        <w:gridCol w:w="3704"/>
      </w:tblGrid>
      <w:tr w:rsidR="002B19EE" w:rsidRPr="002B19EE" w:rsidTr="00DA0735">
        <w:trPr>
          <w:trHeight w:val="422"/>
          <w:tblHeader/>
        </w:trPr>
        <w:tc>
          <w:tcPr>
            <w:tcW w:w="2731" w:type="dxa"/>
            <w:tcBorders>
              <w:bottom w:val="single" w:sz="4" w:space="0" w:color="auto"/>
            </w:tcBorders>
            <w:shd w:val="clear" w:color="auto" w:fill="auto"/>
          </w:tcPr>
          <w:p w:rsidR="002B19EE" w:rsidRPr="002B19EE" w:rsidRDefault="002B19EE" w:rsidP="00DA0735">
            <w:pPr>
              <w:rPr>
                <w:b/>
                <w:color w:val="000000" w:themeColor="text1"/>
              </w:rPr>
            </w:pPr>
            <w:r w:rsidRPr="002B19EE">
              <w:rPr>
                <w:b/>
                <w:color w:val="000000" w:themeColor="text1"/>
              </w:rPr>
              <w:t>Key Topic</w:t>
            </w:r>
          </w:p>
        </w:tc>
        <w:tc>
          <w:tcPr>
            <w:tcW w:w="1759" w:type="dxa"/>
            <w:tcBorders>
              <w:bottom w:val="single" w:sz="4" w:space="0" w:color="auto"/>
            </w:tcBorders>
            <w:shd w:val="clear" w:color="auto" w:fill="auto"/>
          </w:tcPr>
          <w:p w:rsidR="002B19EE" w:rsidRPr="002B19EE" w:rsidRDefault="002B19EE" w:rsidP="00DA0735">
            <w:pPr>
              <w:rPr>
                <w:b/>
                <w:color w:val="000000" w:themeColor="text1"/>
              </w:rPr>
            </w:pPr>
            <w:r w:rsidRPr="002B19EE">
              <w:rPr>
                <w:b/>
                <w:color w:val="000000" w:themeColor="text1"/>
              </w:rPr>
              <w:t>Number of Lessons</w:t>
            </w:r>
          </w:p>
        </w:tc>
        <w:tc>
          <w:tcPr>
            <w:tcW w:w="2547" w:type="dxa"/>
            <w:tcBorders>
              <w:bottom w:val="single" w:sz="4" w:space="0" w:color="auto"/>
            </w:tcBorders>
            <w:shd w:val="clear" w:color="auto" w:fill="auto"/>
          </w:tcPr>
          <w:p w:rsidR="002B19EE" w:rsidRPr="002B19EE" w:rsidRDefault="002B19EE" w:rsidP="00DA0735">
            <w:pPr>
              <w:rPr>
                <w:b/>
                <w:color w:val="000000" w:themeColor="text1"/>
              </w:rPr>
            </w:pPr>
            <w:r w:rsidRPr="002B19EE">
              <w:rPr>
                <w:b/>
                <w:color w:val="000000" w:themeColor="text1"/>
              </w:rPr>
              <w:t>Indicative Content</w:t>
            </w:r>
          </w:p>
        </w:tc>
        <w:tc>
          <w:tcPr>
            <w:tcW w:w="4119" w:type="dxa"/>
            <w:tcBorders>
              <w:bottom w:val="single" w:sz="4" w:space="0" w:color="auto"/>
            </w:tcBorders>
            <w:shd w:val="clear" w:color="auto" w:fill="auto"/>
          </w:tcPr>
          <w:p w:rsidR="002B19EE" w:rsidRPr="002B19EE" w:rsidRDefault="002B19EE" w:rsidP="00DA0735">
            <w:pPr>
              <w:rPr>
                <w:b/>
                <w:color w:val="000000" w:themeColor="text1"/>
              </w:rPr>
            </w:pPr>
            <w:r w:rsidRPr="002B19EE">
              <w:rPr>
                <w:b/>
                <w:color w:val="000000" w:themeColor="text1"/>
              </w:rPr>
              <w:t>Extended Content</w:t>
            </w:r>
          </w:p>
        </w:tc>
        <w:tc>
          <w:tcPr>
            <w:tcW w:w="3704" w:type="dxa"/>
            <w:tcBorders>
              <w:bottom w:val="single" w:sz="4" w:space="0" w:color="auto"/>
            </w:tcBorders>
            <w:shd w:val="clear" w:color="auto" w:fill="auto"/>
          </w:tcPr>
          <w:p w:rsidR="002B19EE" w:rsidRPr="002B19EE" w:rsidRDefault="002B19EE" w:rsidP="00DA0735">
            <w:pPr>
              <w:rPr>
                <w:b/>
                <w:color w:val="000000" w:themeColor="text1"/>
              </w:rPr>
            </w:pPr>
            <w:r w:rsidRPr="002B19EE">
              <w:rPr>
                <w:b/>
                <w:color w:val="000000" w:themeColor="text1"/>
              </w:rPr>
              <w:t>Resources</w:t>
            </w:r>
          </w:p>
        </w:tc>
      </w:tr>
      <w:tr w:rsidR="002B19EE" w:rsidRPr="002B19EE" w:rsidTr="002B19EE">
        <w:trPr>
          <w:trHeight w:val="274"/>
        </w:trPr>
        <w:tc>
          <w:tcPr>
            <w:tcW w:w="2731" w:type="dxa"/>
            <w:tcBorders>
              <w:top w:val="single" w:sz="4" w:space="0" w:color="auto"/>
            </w:tcBorders>
          </w:tcPr>
          <w:p w:rsidR="002B19EE" w:rsidRPr="002B19EE" w:rsidRDefault="002B19EE" w:rsidP="00DA0735">
            <w:pPr>
              <w:pStyle w:val="Tabletext"/>
              <w:rPr>
                <w:sz w:val="22"/>
                <w:szCs w:val="22"/>
              </w:rPr>
            </w:pPr>
            <w:r w:rsidRPr="002B19EE">
              <w:rPr>
                <w:b/>
                <w:bCs/>
                <w:color w:val="000000"/>
                <w:sz w:val="22"/>
                <w:szCs w:val="22"/>
              </w:rPr>
              <w:t>The role of the Great Powers in the Middle East</w:t>
            </w:r>
          </w:p>
        </w:tc>
        <w:tc>
          <w:tcPr>
            <w:tcW w:w="1759" w:type="dxa"/>
            <w:tcBorders>
              <w:top w:val="single" w:sz="4" w:space="0" w:color="auto"/>
            </w:tcBorders>
          </w:tcPr>
          <w:p w:rsidR="002B19EE" w:rsidRPr="002B19EE" w:rsidRDefault="002B19EE" w:rsidP="00DA0735">
            <w:pPr>
              <w:pStyle w:val="Default"/>
              <w:rPr>
                <w:color w:val="auto"/>
                <w:sz w:val="22"/>
                <w:szCs w:val="22"/>
              </w:rPr>
            </w:pPr>
            <w:r w:rsidRPr="002B19EE">
              <w:rPr>
                <w:color w:val="auto"/>
                <w:sz w:val="22"/>
                <w:szCs w:val="22"/>
              </w:rPr>
              <w:t>2</w:t>
            </w:r>
          </w:p>
        </w:tc>
        <w:tc>
          <w:tcPr>
            <w:tcW w:w="2547" w:type="dxa"/>
            <w:tcBorders>
              <w:top w:val="single" w:sz="4" w:space="0" w:color="auto"/>
            </w:tcBorders>
          </w:tcPr>
          <w:p w:rsidR="002B19EE" w:rsidRPr="002B19EE" w:rsidRDefault="002B19EE" w:rsidP="00DA0735">
            <w:pPr>
              <w:pStyle w:val="Pa19"/>
              <w:spacing w:after="80"/>
              <w:rPr>
                <w:rFonts w:ascii="Arial" w:hAnsi="Arial" w:cs="Arial"/>
                <w:color w:val="000000"/>
                <w:sz w:val="22"/>
                <w:szCs w:val="22"/>
              </w:rPr>
            </w:pPr>
            <w:r w:rsidRPr="002B19EE">
              <w:rPr>
                <w:rFonts w:ascii="Arial" w:hAnsi="Arial" w:cs="Arial"/>
                <w:color w:val="000000"/>
                <w:sz w:val="22"/>
                <w:szCs w:val="22"/>
              </w:rPr>
              <w:t xml:space="preserve">The aims, policies and methods of Britain and France to 1956 and of Russia and the US to 2011 </w:t>
            </w:r>
          </w:p>
        </w:tc>
        <w:tc>
          <w:tcPr>
            <w:tcW w:w="4119" w:type="dxa"/>
            <w:tcBorders>
              <w:top w:val="single" w:sz="4" w:space="0" w:color="auto"/>
            </w:tcBorders>
          </w:tcPr>
          <w:p w:rsidR="002B19EE" w:rsidRPr="002B19EE" w:rsidRDefault="002B19EE" w:rsidP="00DA0735">
            <w:pPr>
              <w:pStyle w:val="Default"/>
              <w:numPr>
                <w:ilvl w:val="0"/>
                <w:numId w:val="3"/>
              </w:numPr>
              <w:ind w:left="334"/>
              <w:rPr>
                <w:color w:val="auto"/>
                <w:sz w:val="22"/>
                <w:szCs w:val="22"/>
              </w:rPr>
            </w:pPr>
            <w:r w:rsidRPr="002B19EE">
              <w:rPr>
                <w:sz w:val="22"/>
                <w:szCs w:val="22"/>
              </w:rPr>
              <w:t>General introductory overview of the roles of Britain and France – territories acquired and given up</w:t>
            </w:r>
          </w:p>
          <w:p w:rsidR="002B19EE" w:rsidRPr="002B19EE" w:rsidRDefault="002B19EE" w:rsidP="00DA0735">
            <w:pPr>
              <w:pStyle w:val="Default"/>
              <w:numPr>
                <w:ilvl w:val="0"/>
                <w:numId w:val="3"/>
              </w:numPr>
              <w:ind w:left="334"/>
              <w:rPr>
                <w:color w:val="auto"/>
                <w:sz w:val="22"/>
                <w:szCs w:val="22"/>
              </w:rPr>
            </w:pPr>
            <w:r w:rsidRPr="002B19EE">
              <w:rPr>
                <w:sz w:val="22"/>
                <w:szCs w:val="22"/>
              </w:rPr>
              <w:t>Aims of the British e.g. protection of the route to India</w:t>
            </w:r>
          </w:p>
          <w:p w:rsidR="002B19EE" w:rsidRPr="002B19EE" w:rsidRDefault="002B19EE" w:rsidP="00DA0735">
            <w:pPr>
              <w:pStyle w:val="Default"/>
              <w:numPr>
                <w:ilvl w:val="0"/>
                <w:numId w:val="3"/>
              </w:numPr>
              <w:ind w:left="334"/>
              <w:rPr>
                <w:color w:val="auto"/>
                <w:sz w:val="22"/>
                <w:szCs w:val="22"/>
              </w:rPr>
            </w:pPr>
            <w:r w:rsidRPr="002B19EE">
              <w:rPr>
                <w:sz w:val="22"/>
                <w:szCs w:val="22"/>
              </w:rPr>
              <w:t>Aims of the French e.g. to check British expansion, to protect the Suez Canal</w:t>
            </w:r>
          </w:p>
          <w:p w:rsidR="002B19EE" w:rsidRPr="002B19EE" w:rsidRDefault="002B19EE" w:rsidP="00DA0735">
            <w:pPr>
              <w:pStyle w:val="Default"/>
              <w:numPr>
                <w:ilvl w:val="0"/>
                <w:numId w:val="3"/>
              </w:numPr>
              <w:ind w:left="334"/>
              <w:rPr>
                <w:color w:val="auto"/>
                <w:sz w:val="22"/>
                <w:szCs w:val="22"/>
              </w:rPr>
            </w:pPr>
            <w:r w:rsidRPr="002B19EE">
              <w:rPr>
                <w:sz w:val="22"/>
                <w:szCs w:val="22"/>
              </w:rPr>
              <w:t>Aims of the Soviet Union and Russia e.g. support for Arab socialism</w:t>
            </w:r>
          </w:p>
          <w:p w:rsidR="002B19EE" w:rsidRPr="002B19EE" w:rsidRDefault="002B19EE" w:rsidP="00DA0735">
            <w:pPr>
              <w:pStyle w:val="Default"/>
              <w:numPr>
                <w:ilvl w:val="0"/>
                <w:numId w:val="3"/>
              </w:numPr>
              <w:ind w:left="334"/>
              <w:rPr>
                <w:color w:val="auto"/>
                <w:sz w:val="22"/>
                <w:szCs w:val="22"/>
              </w:rPr>
            </w:pPr>
            <w:r w:rsidRPr="002B19EE">
              <w:rPr>
                <w:sz w:val="22"/>
                <w:szCs w:val="22"/>
              </w:rPr>
              <w:t>Aims of the US e.g. protection of oil interests</w:t>
            </w:r>
          </w:p>
          <w:p w:rsidR="002B19EE" w:rsidRPr="002B19EE" w:rsidRDefault="002B19EE" w:rsidP="00DA0735">
            <w:pPr>
              <w:pStyle w:val="Default"/>
              <w:numPr>
                <w:ilvl w:val="0"/>
                <w:numId w:val="3"/>
              </w:numPr>
              <w:ind w:left="334"/>
              <w:rPr>
                <w:color w:val="auto"/>
                <w:sz w:val="22"/>
                <w:szCs w:val="22"/>
              </w:rPr>
            </w:pPr>
            <w:r w:rsidRPr="002B19EE">
              <w:rPr>
                <w:color w:val="auto"/>
                <w:sz w:val="22"/>
                <w:szCs w:val="22"/>
              </w:rPr>
              <w:t>Introduction to the methods used by the great powers e.g. direct intervention, soft power, selling arms and weapons, threats, proxy wars</w:t>
            </w:r>
          </w:p>
          <w:p w:rsidR="002B19EE" w:rsidRPr="002B19EE" w:rsidRDefault="002B19EE" w:rsidP="00DA0735">
            <w:pPr>
              <w:pStyle w:val="Default"/>
              <w:numPr>
                <w:ilvl w:val="0"/>
                <w:numId w:val="3"/>
              </w:numPr>
              <w:ind w:left="334"/>
              <w:rPr>
                <w:color w:val="auto"/>
                <w:sz w:val="22"/>
                <w:szCs w:val="22"/>
              </w:rPr>
            </w:pPr>
            <w:r w:rsidRPr="002B19EE">
              <w:rPr>
                <w:color w:val="auto"/>
                <w:sz w:val="22"/>
                <w:szCs w:val="22"/>
              </w:rPr>
              <w:t>Key agreements such as Sykes-Picot</w:t>
            </w:r>
          </w:p>
        </w:tc>
        <w:tc>
          <w:tcPr>
            <w:tcW w:w="3704" w:type="dxa"/>
            <w:tcBorders>
              <w:top w:val="single" w:sz="4" w:space="0" w:color="auto"/>
            </w:tcBorders>
          </w:tcPr>
          <w:p w:rsidR="002B19EE" w:rsidRPr="002B19EE" w:rsidRDefault="002B19EE" w:rsidP="00DA0735">
            <w:pPr>
              <w:pStyle w:val="Default"/>
              <w:numPr>
                <w:ilvl w:val="0"/>
                <w:numId w:val="3"/>
              </w:numPr>
              <w:ind w:left="334"/>
              <w:rPr>
                <w:color w:val="auto"/>
                <w:sz w:val="22"/>
                <w:szCs w:val="22"/>
              </w:rPr>
            </w:pPr>
            <w:r w:rsidRPr="002B19EE">
              <w:rPr>
                <w:i/>
                <w:color w:val="auto"/>
                <w:sz w:val="22"/>
                <w:szCs w:val="22"/>
              </w:rPr>
              <w:t xml:space="preserve">Access to History: The Middle East 1908-2011 </w:t>
            </w:r>
            <w:r w:rsidRPr="002B19EE">
              <w:rPr>
                <w:color w:val="auto"/>
                <w:sz w:val="22"/>
                <w:szCs w:val="22"/>
              </w:rPr>
              <w:t xml:space="preserve">(second edition), Michael Scott-Baumann (Hodder) </w:t>
            </w:r>
            <w:r w:rsidRPr="002B19EE">
              <w:rPr>
                <w:i/>
                <w:color w:val="auto"/>
                <w:sz w:val="22"/>
                <w:szCs w:val="22"/>
              </w:rPr>
              <w:t>also contains an excellent bibliography</w:t>
            </w:r>
          </w:p>
          <w:p w:rsidR="002B19EE" w:rsidRPr="002B19EE" w:rsidRDefault="002B19EE" w:rsidP="00DA0735">
            <w:pPr>
              <w:pStyle w:val="Default"/>
              <w:numPr>
                <w:ilvl w:val="0"/>
                <w:numId w:val="3"/>
              </w:numPr>
              <w:ind w:left="334"/>
              <w:rPr>
                <w:color w:val="auto"/>
                <w:sz w:val="22"/>
                <w:szCs w:val="22"/>
              </w:rPr>
            </w:pPr>
            <w:r w:rsidRPr="002B19EE">
              <w:rPr>
                <w:i/>
                <w:color w:val="auto"/>
                <w:sz w:val="22"/>
                <w:szCs w:val="22"/>
              </w:rPr>
              <w:t xml:space="preserve">The Arab-Israeli Conflict (Seminar Studies in History), </w:t>
            </w:r>
            <w:proofErr w:type="spellStart"/>
            <w:r w:rsidRPr="002B19EE">
              <w:rPr>
                <w:color w:val="auto"/>
                <w:sz w:val="22"/>
                <w:szCs w:val="22"/>
              </w:rPr>
              <w:t>Kisrten</w:t>
            </w:r>
            <w:proofErr w:type="spellEnd"/>
            <w:r w:rsidRPr="002B19EE">
              <w:rPr>
                <w:color w:val="auto"/>
                <w:sz w:val="22"/>
                <w:szCs w:val="22"/>
              </w:rPr>
              <w:t xml:space="preserve"> E. Schulze</w:t>
            </w:r>
          </w:p>
          <w:p w:rsidR="002B19EE" w:rsidRPr="002B19EE" w:rsidRDefault="002B19EE" w:rsidP="00DA0735">
            <w:pPr>
              <w:pStyle w:val="Default"/>
              <w:numPr>
                <w:ilvl w:val="0"/>
                <w:numId w:val="3"/>
              </w:numPr>
              <w:ind w:left="334"/>
              <w:rPr>
                <w:color w:val="auto"/>
                <w:sz w:val="22"/>
                <w:szCs w:val="22"/>
              </w:rPr>
            </w:pPr>
            <w:r w:rsidRPr="002B19EE">
              <w:rPr>
                <w:i/>
                <w:color w:val="auto"/>
                <w:sz w:val="22"/>
                <w:szCs w:val="22"/>
              </w:rPr>
              <w:t xml:space="preserve">A History of the Middle East (4th edition), </w:t>
            </w:r>
            <w:r w:rsidRPr="002B19EE">
              <w:rPr>
                <w:color w:val="auto"/>
                <w:sz w:val="22"/>
                <w:szCs w:val="22"/>
              </w:rPr>
              <w:t>Peter Mansfield</w:t>
            </w:r>
          </w:p>
          <w:p w:rsidR="002B19EE" w:rsidRPr="002B19EE" w:rsidRDefault="002B19EE" w:rsidP="00DA0735">
            <w:pPr>
              <w:pStyle w:val="Default"/>
              <w:numPr>
                <w:ilvl w:val="0"/>
                <w:numId w:val="3"/>
              </w:numPr>
              <w:ind w:left="334"/>
              <w:rPr>
                <w:color w:val="auto"/>
                <w:sz w:val="22"/>
                <w:szCs w:val="22"/>
              </w:rPr>
            </w:pPr>
            <w:r w:rsidRPr="002B19EE">
              <w:rPr>
                <w:i/>
                <w:color w:val="auto"/>
                <w:sz w:val="22"/>
                <w:szCs w:val="22"/>
              </w:rPr>
              <w:t>The Palestinian-Israeli Conflict: A Very Short Introduction</w:t>
            </w:r>
            <w:r w:rsidRPr="002B19EE">
              <w:rPr>
                <w:color w:val="auto"/>
                <w:sz w:val="22"/>
                <w:szCs w:val="22"/>
              </w:rPr>
              <w:t>, Martin Bunton</w:t>
            </w:r>
          </w:p>
          <w:p w:rsidR="002B19EE" w:rsidRPr="002B19EE" w:rsidRDefault="002B19EE" w:rsidP="00DA0735">
            <w:pPr>
              <w:pStyle w:val="Default"/>
              <w:numPr>
                <w:ilvl w:val="0"/>
                <w:numId w:val="3"/>
              </w:numPr>
              <w:ind w:left="334"/>
              <w:rPr>
                <w:color w:val="auto"/>
                <w:sz w:val="22"/>
                <w:szCs w:val="22"/>
              </w:rPr>
            </w:pPr>
            <w:r w:rsidRPr="002B19EE">
              <w:rPr>
                <w:i/>
                <w:color w:val="auto"/>
                <w:sz w:val="22"/>
                <w:szCs w:val="22"/>
              </w:rPr>
              <w:t>A Line in the Sand: Britain, France and the Struggle for Master of the Middle East</w:t>
            </w:r>
            <w:r w:rsidRPr="002B19EE">
              <w:rPr>
                <w:color w:val="auto"/>
                <w:sz w:val="22"/>
                <w:szCs w:val="22"/>
              </w:rPr>
              <w:t>, James Barr</w:t>
            </w:r>
          </w:p>
          <w:p w:rsidR="002B19EE" w:rsidRPr="002B19EE" w:rsidRDefault="002B19EE" w:rsidP="00DA0735">
            <w:pPr>
              <w:pStyle w:val="Default"/>
              <w:numPr>
                <w:ilvl w:val="0"/>
                <w:numId w:val="3"/>
              </w:numPr>
              <w:ind w:left="334"/>
              <w:rPr>
                <w:color w:val="auto"/>
                <w:sz w:val="22"/>
                <w:szCs w:val="22"/>
              </w:rPr>
            </w:pPr>
            <w:r w:rsidRPr="002B19EE">
              <w:rPr>
                <w:i/>
                <w:color w:val="auto"/>
                <w:sz w:val="22"/>
                <w:szCs w:val="22"/>
              </w:rPr>
              <w:t>Cursed Victory: A History of Israeli and the Occupied Territories</w:t>
            </w:r>
            <w:r w:rsidRPr="002B19EE">
              <w:rPr>
                <w:color w:val="auto"/>
                <w:sz w:val="22"/>
                <w:szCs w:val="22"/>
              </w:rPr>
              <w:t xml:space="preserve">, </w:t>
            </w:r>
            <w:proofErr w:type="spellStart"/>
            <w:r w:rsidRPr="002B19EE">
              <w:rPr>
                <w:color w:val="auto"/>
                <w:sz w:val="22"/>
                <w:szCs w:val="22"/>
              </w:rPr>
              <w:t>Ahron</w:t>
            </w:r>
            <w:proofErr w:type="spellEnd"/>
            <w:r w:rsidRPr="002B19EE">
              <w:rPr>
                <w:color w:val="auto"/>
                <w:sz w:val="22"/>
                <w:szCs w:val="22"/>
              </w:rPr>
              <w:t xml:space="preserve"> </w:t>
            </w:r>
            <w:proofErr w:type="spellStart"/>
            <w:r w:rsidRPr="002B19EE">
              <w:rPr>
                <w:color w:val="auto"/>
                <w:sz w:val="22"/>
                <w:szCs w:val="22"/>
              </w:rPr>
              <w:t>Bregman</w:t>
            </w:r>
            <w:proofErr w:type="spellEnd"/>
          </w:p>
          <w:p w:rsidR="002B19EE" w:rsidRPr="002B19EE" w:rsidRDefault="002B19EE" w:rsidP="00DA0735">
            <w:pPr>
              <w:pStyle w:val="Default"/>
              <w:numPr>
                <w:ilvl w:val="0"/>
                <w:numId w:val="3"/>
              </w:numPr>
              <w:ind w:left="334"/>
              <w:rPr>
                <w:color w:val="auto"/>
                <w:sz w:val="22"/>
                <w:szCs w:val="22"/>
              </w:rPr>
            </w:pPr>
            <w:r w:rsidRPr="002B19EE">
              <w:rPr>
                <w:i/>
                <w:color w:val="auto"/>
                <w:sz w:val="22"/>
                <w:szCs w:val="22"/>
              </w:rPr>
              <w:t>The Arabs: A History – Second Edition</w:t>
            </w:r>
            <w:r w:rsidRPr="002B19EE">
              <w:rPr>
                <w:color w:val="auto"/>
                <w:sz w:val="22"/>
                <w:szCs w:val="22"/>
              </w:rPr>
              <w:t>, Eugene Rogan</w:t>
            </w:r>
          </w:p>
        </w:tc>
      </w:tr>
    </w:tbl>
    <w:p w:rsidR="002B19EE" w:rsidRDefault="002B19EE" w:rsidP="008E5637">
      <w:pPr>
        <w:rPr>
          <w:color w:val="000000"/>
        </w:rPr>
        <w:sectPr w:rsidR="002B19EE" w:rsidSect="002B19EE">
          <w:headerReference w:type="default" r:id="rId8"/>
          <w:footerReference w:type="default" r:id="rId9"/>
          <w:pgSz w:w="16838" w:h="11906" w:orient="landscape"/>
          <w:pgMar w:top="1560" w:right="720" w:bottom="851" w:left="720" w:header="708" w:footer="708" w:gutter="0"/>
          <w:cols w:space="708"/>
          <w:docGrid w:linePitch="360"/>
        </w:sectPr>
      </w:pPr>
    </w:p>
    <w:tbl>
      <w:tblPr>
        <w:tblStyle w:val="TableGrid"/>
        <w:tblW w:w="0" w:type="auto"/>
        <w:tblLook w:val="04A0" w:firstRow="1" w:lastRow="0" w:firstColumn="1" w:lastColumn="0" w:noHBand="0" w:noVBand="1"/>
        <w:tblCaption w:val="Y321 SOW table"/>
      </w:tblPr>
      <w:tblGrid>
        <w:gridCol w:w="2731"/>
        <w:gridCol w:w="1759"/>
        <w:gridCol w:w="2547"/>
        <w:gridCol w:w="4119"/>
        <w:gridCol w:w="3704"/>
      </w:tblGrid>
      <w:tr w:rsidR="002B19EE" w:rsidRPr="002B19EE" w:rsidTr="00DA0735">
        <w:trPr>
          <w:trHeight w:val="422"/>
          <w:tblHeader/>
        </w:trPr>
        <w:tc>
          <w:tcPr>
            <w:tcW w:w="2731" w:type="dxa"/>
            <w:tcBorders>
              <w:bottom w:val="single" w:sz="4" w:space="0" w:color="auto"/>
            </w:tcBorders>
            <w:shd w:val="clear" w:color="auto" w:fill="auto"/>
          </w:tcPr>
          <w:p w:rsidR="002B19EE" w:rsidRPr="002B19EE" w:rsidRDefault="002B19EE" w:rsidP="00DA0735">
            <w:pPr>
              <w:rPr>
                <w:b/>
                <w:color w:val="000000" w:themeColor="text1"/>
              </w:rPr>
            </w:pPr>
            <w:r w:rsidRPr="002B19EE">
              <w:rPr>
                <w:b/>
                <w:color w:val="000000" w:themeColor="text1"/>
              </w:rPr>
              <w:lastRenderedPageBreak/>
              <w:t>Key Topic</w:t>
            </w:r>
          </w:p>
        </w:tc>
        <w:tc>
          <w:tcPr>
            <w:tcW w:w="1759" w:type="dxa"/>
            <w:tcBorders>
              <w:bottom w:val="single" w:sz="4" w:space="0" w:color="auto"/>
            </w:tcBorders>
            <w:shd w:val="clear" w:color="auto" w:fill="auto"/>
          </w:tcPr>
          <w:p w:rsidR="002B19EE" w:rsidRPr="002B19EE" w:rsidRDefault="002B19EE" w:rsidP="00DA0735">
            <w:pPr>
              <w:rPr>
                <w:b/>
                <w:color w:val="000000" w:themeColor="text1"/>
              </w:rPr>
            </w:pPr>
            <w:r w:rsidRPr="002B19EE">
              <w:rPr>
                <w:b/>
                <w:color w:val="000000" w:themeColor="text1"/>
              </w:rPr>
              <w:t>Number of Lessons</w:t>
            </w:r>
          </w:p>
        </w:tc>
        <w:tc>
          <w:tcPr>
            <w:tcW w:w="2547" w:type="dxa"/>
            <w:tcBorders>
              <w:bottom w:val="single" w:sz="4" w:space="0" w:color="auto"/>
            </w:tcBorders>
            <w:shd w:val="clear" w:color="auto" w:fill="auto"/>
          </w:tcPr>
          <w:p w:rsidR="002B19EE" w:rsidRPr="002B19EE" w:rsidRDefault="002B19EE" w:rsidP="00DA0735">
            <w:pPr>
              <w:rPr>
                <w:b/>
                <w:color w:val="000000" w:themeColor="text1"/>
              </w:rPr>
            </w:pPr>
            <w:r w:rsidRPr="002B19EE">
              <w:rPr>
                <w:b/>
                <w:color w:val="000000" w:themeColor="text1"/>
              </w:rPr>
              <w:t>Indicative Content</w:t>
            </w:r>
          </w:p>
        </w:tc>
        <w:tc>
          <w:tcPr>
            <w:tcW w:w="4119" w:type="dxa"/>
            <w:tcBorders>
              <w:bottom w:val="single" w:sz="4" w:space="0" w:color="auto"/>
            </w:tcBorders>
            <w:shd w:val="clear" w:color="auto" w:fill="auto"/>
          </w:tcPr>
          <w:p w:rsidR="002B19EE" w:rsidRPr="002B19EE" w:rsidRDefault="002B19EE" w:rsidP="00DA0735">
            <w:pPr>
              <w:rPr>
                <w:b/>
                <w:color w:val="000000" w:themeColor="text1"/>
              </w:rPr>
            </w:pPr>
            <w:r w:rsidRPr="002B19EE">
              <w:rPr>
                <w:b/>
                <w:color w:val="000000" w:themeColor="text1"/>
              </w:rPr>
              <w:t>Extended Content</w:t>
            </w:r>
          </w:p>
        </w:tc>
        <w:tc>
          <w:tcPr>
            <w:tcW w:w="3704" w:type="dxa"/>
            <w:tcBorders>
              <w:bottom w:val="single" w:sz="4" w:space="0" w:color="auto"/>
            </w:tcBorders>
            <w:shd w:val="clear" w:color="auto" w:fill="auto"/>
          </w:tcPr>
          <w:p w:rsidR="002B19EE" w:rsidRPr="002B19EE" w:rsidRDefault="002B19EE" w:rsidP="00DA0735">
            <w:pPr>
              <w:rPr>
                <w:b/>
                <w:color w:val="000000" w:themeColor="text1"/>
              </w:rPr>
            </w:pPr>
            <w:r w:rsidRPr="002B19EE">
              <w:rPr>
                <w:b/>
                <w:color w:val="000000" w:themeColor="text1"/>
              </w:rPr>
              <w:t>Resources</w:t>
            </w:r>
          </w:p>
        </w:tc>
      </w:tr>
      <w:tr w:rsidR="0024481A" w:rsidRPr="002B19EE" w:rsidTr="006B19C0">
        <w:tc>
          <w:tcPr>
            <w:tcW w:w="2731" w:type="dxa"/>
            <w:vMerge w:val="restart"/>
          </w:tcPr>
          <w:p w:rsidR="0024481A" w:rsidRPr="002B19EE" w:rsidRDefault="0024481A" w:rsidP="008E5637">
            <w:pPr>
              <w:pStyle w:val="Tabletext"/>
              <w:rPr>
                <w:sz w:val="22"/>
                <w:szCs w:val="22"/>
              </w:rPr>
            </w:pPr>
          </w:p>
        </w:tc>
        <w:tc>
          <w:tcPr>
            <w:tcW w:w="1759" w:type="dxa"/>
          </w:tcPr>
          <w:p w:rsidR="0024481A" w:rsidRPr="002B19EE" w:rsidRDefault="00D9481F" w:rsidP="00C57259">
            <w:pPr>
              <w:pStyle w:val="Default"/>
              <w:rPr>
                <w:color w:val="auto"/>
                <w:sz w:val="22"/>
                <w:szCs w:val="22"/>
              </w:rPr>
            </w:pPr>
            <w:r w:rsidRPr="002B19EE">
              <w:rPr>
                <w:color w:val="auto"/>
                <w:sz w:val="22"/>
                <w:szCs w:val="22"/>
              </w:rPr>
              <w:t>3</w:t>
            </w:r>
          </w:p>
        </w:tc>
        <w:tc>
          <w:tcPr>
            <w:tcW w:w="2547" w:type="dxa"/>
          </w:tcPr>
          <w:p w:rsidR="0024481A" w:rsidRPr="002B19EE" w:rsidRDefault="00F15A45" w:rsidP="00C57259">
            <w:pPr>
              <w:pStyle w:val="Pa19"/>
              <w:spacing w:after="80"/>
              <w:rPr>
                <w:rFonts w:ascii="Arial" w:hAnsi="Arial" w:cs="Arial"/>
                <w:color w:val="000000"/>
                <w:sz w:val="22"/>
                <w:szCs w:val="22"/>
              </w:rPr>
            </w:pPr>
            <w:r w:rsidRPr="002B19EE">
              <w:rPr>
                <w:rFonts w:ascii="Arial" w:hAnsi="Arial" w:cs="Arial"/>
                <w:color w:val="000000"/>
                <w:sz w:val="22"/>
                <w:szCs w:val="22"/>
              </w:rPr>
              <w:t>The role of the League of Nations and the UN</w:t>
            </w:r>
          </w:p>
        </w:tc>
        <w:tc>
          <w:tcPr>
            <w:tcW w:w="4119" w:type="dxa"/>
          </w:tcPr>
          <w:p w:rsidR="00472A19" w:rsidRPr="002B19EE" w:rsidRDefault="00472A19" w:rsidP="00F15A45">
            <w:pPr>
              <w:pStyle w:val="Default"/>
              <w:numPr>
                <w:ilvl w:val="0"/>
                <w:numId w:val="56"/>
              </w:numPr>
              <w:rPr>
                <w:color w:val="auto"/>
                <w:sz w:val="22"/>
                <w:szCs w:val="22"/>
              </w:rPr>
            </w:pPr>
            <w:r w:rsidRPr="002B19EE">
              <w:rPr>
                <w:color w:val="auto"/>
                <w:sz w:val="22"/>
                <w:szCs w:val="22"/>
              </w:rPr>
              <w:t>The League’s decisions on to whom to award mandates</w:t>
            </w:r>
          </w:p>
          <w:p w:rsidR="00472A19" w:rsidRPr="002B19EE" w:rsidRDefault="00472A19" w:rsidP="00F15A45">
            <w:pPr>
              <w:pStyle w:val="Default"/>
              <w:numPr>
                <w:ilvl w:val="0"/>
                <w:numId w:val="56"/>
              </w:numPr>
              <w:rPr>
                <w:color w:val="auto"/>
                <w:sz w:val="22"/>
                <w:szCs w:val="22"/>
              </w:rPr>
            </w:pPr>
            <w:r w:rsidRPr="002B19EE">
              <w:rPr>
                <w:color w:val="auto"/>
                <w:sz w:val="22"/>
                <w:szCs w:val="22"/>
              </w:rPr>
              <w:t>Terms of the Treaty of Versailles</w:t>
            </w:r>
          </w:p>
          <w:p w:rsidR="00472A19" w:rsidRPr="002B19EE" w:rsidRDefault="00472A19" w:rsidP="00F15A45">
            <w:pPr>
              <w:pStyle w:val="Default"/>
              <w:numPr>
                <w:ilvl w:val="0"/>
                <w:numId w:val="56"/>
              </w:numPr>
              <w:rPr>
                <w:color w:val="auto"/>
                <w:sz w:val="22"/>
                <w:szCs w:val="22"/>
              </w:rPr>
            </w:pPr>
            <w:r w:rsidRPr="002B19EE">
              <w:rPr>
                <w:color w:val="auto"/>
                <w:sz w:val="22"/>
                <w:szCs w:val="22"/>
              </w:rPr>
              <w:t>Admission of states to the \league</w:t>
            </w:r>
          </w:p>
          <w:p w:rsidR="00A1689A" w:rsidRPr="002B19EE" w:rsidRDefault="00472A19" w:rsidP="00F15A45">
            <w:pPr>
              <w:pStyle w:val="Default"/>
              <w:numPr>
                <w:ilvl w:val="0"/>
                <w:numId w:val="56"/>
              </w:numPr>
              <w:rPr>
                <w:color w:val="auto"/>
                <w:sz w:val="22"/>
                <w:szCs w:val="22"/>
              </w:rPr>
            </w:pPr>
            <w:r w:rsidRPr="002B19EE">
              <w:rPr>
                <w:color w:val="auto"/>
                <w:sz w:val="22"/>
                <w:szCs w:val="22"/>
              </w:rPr>
              <w:t xml:space="preserve">UN role in Palestine after 1945, reasons for the Partition Plan </w:t>
            </w:r>
          </w:p>
          <w:p w:rsidR="00271CB3" w:rsidRPr="002B19EE" w:rsidRDefault="00271CB3" w:rsidP="00271CB3">
            <w:pPr>
              <w:pStyle w:val="Default"/>
              <w:ind w:left="1054"/>
              <w:rPr>
                <w:color w:val="auto"/>
                <w:sz w:val="22"/>
                <w:szCs w:val="22"/>
              </w:rPr>
            </w:pPr>
          </w:p>
        </w:tc>
        <w:tc>
          <w:tcPr>
            <w:tcW w:w="3704" w:type="dxa"/>
            <w:vMerge w:val="restart"/>
          </w:tcPr>
          <w:p w:rsidR="0024481A" w:rsidRPr="002B19EE" w:rsidRDefault="0024481A" w:rsidP="002B19EE">
            <w:pPr>
              <w:pStyle w:val="Default"/>
              <w:ind w:left="334"/>
              <w:rPr>
                <w:color w:val="auto"/>
                <w:sz w:val="22"/>
                <w:szCs w:val="22"/>
              </w:rPr>
            </w:pPr>
          </w:p>
        </w:tc>
      </w:tr>
      <w:tr w:rsidR="0024481A" w:rsidRPr="002B19EE" w:rsidTr="006B19C0">
        <w:tc>
          <w:tcPr>
            <w:tcW w:w="2731" w:type="dxa"/>
            <w:vMerge/>
          </w:tcPr>
          <w:p w:rsidR="0024481A" w:rsidRPr="002B19EE" w:rsidRDefault="0024481A" w:rsidP="008E5637">
            <w:pPr>
              <w:pStyle w:val="Tabletext"/>
              <w:rPr>
                <w:sz w:val="22"/>
                <w:szCs w:val="22"/>
              </w:rPr>
            </w:pPr>
          </w:p>
        </w:tc>
        <w:tc>
          <w:tcPr>
            <w:tcW w:w="1759" w:type="dxa"/>
          </w:tcPr>
          <w:p w:rsidR="0024481A" w:rsidRPr="002B19EE" w:rsidRDefault="00D9481F" w:rsidP="00C57259">
            <w:pPr>
              <w:pStyle w:val="Default"/>
              <w:rPr>
                <w:color w:val="auto"/>
                <w:sz w:val="22"/>
                <w:szCs w:val="22"/>
              </w:rPr>
            </w:pPr>
            <w:r w:rsidRPr="002B19EE">
              <w:rPr>
                <w:color w:val="auto"/>
                <w:sz w:val="22"/>
                <w:szCs w:val="22"/>
              </w:rPr>
              <w:t>3</w:t>
            </w:r>
          </w:p>
        </w:tc>
        <w:tc>
          <w:tcPr>
            <w:tcW w:w="2547" w:type="dxa"/>
          </w:tcPr>
          <w:p w:rsidR="0024481A" w:rsidRPr="002B19EE" w:rsidRDefault="00F15A45" w:rsidP="00C57259">
            <w:pPr>
              <w:pStyle w:val="Pa19"/>
              <w:spacing w:after="80"/>
              <w:rPr>
                <w:rFonts w:ascii="Arial" w:hAnsi="Arial" w:cs="Arial"/>
                <w:color w:val="000000"/>
                <w:sz w:val="22"/>
                <w:szCs w:val="22"/>
              </w:rPr>
            </w:pPr>
            <w:r w:rsidRPr="002B19EE">
              <w:rPr>
                <w:rFonts w:ascii="Arial" w:hAnsi="Arial" w:cs="Arial"/>
                <w:color w:val="000000"/>
                <w:sz w:val="22"/>
                <w:szCs w:val="22"/>
              </w:rPr>
              <w:t>The use of mandates, coups, occupations, allies, bases and client states</w:t>
            </w:r>
          </w:p>
        </w:tc>
        <w:tc>
          <w:tcPr>
            <w:tcW w:w="4119" w:type="dxa"/>
          </w:tcPr>
          <w:p w:rsidR="00A61397" w:rsidRPr="002B19EE" w:rsidRDefault="00472A19" w:rsidP="00F15A45">
            <w:pPr>
              <w:pStyle w:val="Default"/>
              <w:numPr>
                <w:ilvl w:val="0"/>
                <w:numId w:val="3"/>
              </w:numPr>
              <w:ind w:left="334"/>
              <w:rPr>
                <w:color w:val="auto"/>
                <w:sz w:val="22"/>
                <w:szCs w:val="22"/>
              </w:rPr>
            </w:pPr>
            <w:r w:rsidRPr="002B19EE">
              <w:rPr>
                <w:color w:val="auto"/>
                <w:sz w:val="22"/>
                <w:szCs w:val="22"/>
              </w:rPr>
              <w:t>French rule in Syria and Lebanon</w:t>
            </w:r>
          </w:p>
          <w:p w:rsidR="00472A19" w:rsidRPr="002B19EE" w:rsidRDefault="00472A19" w:rsidP="00F15A45">
            <w:pPr>
              <w:pStyle w:val="Default"/>
              <w:numPr>
                <w:ilvl w:val="0"/>
                <w:numId w:val="3"/>
              </w:numPr>
              <w:ind w:left="334"/>
              <w:rPr>
                <w:color w:val="auto"/>
                <w:sz w:val="22"/>
                <w:szCs w:val="22"/>
              </w:rPr>
            </w:pPr>
            <w:r w:rsidRPr="002B19EE">
              <w:rPr>
                <w:color w:val="auto"/>
                <w:sz w:val="22"/>
                <w:szCs w:val="22"/>
              </w:rPr>
              <w:t>British rule in Transjordan and Iraq</w:t>
            </w:r>
          </w:p>
          <w:p w:rsidR="00472A19" w:rsidRPr="002B19EE" w:rsidRDefault="00472A19" w:rsidP="00F15A45">
            <w:pPr>
              <w:pStyle w:val="Default"/>
              <w:numPr>
                <w:ilvl w:val="0"/>
                <w:numId w:val="3"/>
              </w:numPr>
              <w:ind w:left="334"/>
              <w:rPr>
                <w:color w:val="auto"/>
                <w:sz w:val="22"/>
                <w:szCs w:val="22"/>
              </w:rPr>
            </w:pPr>
            <w:r w:rsidRPr="002B19EE">
              <w:rPr>
                <w:color w:val="auto"/>
                <w:sz w:val="22"/>
                <w:szCs w:val="22"/>
              </w:rPr>
              <w:t xml:space="preserve">Anglo-French relations with and interference in other states such as </w:t>
            </w:r>
            <w:r w:rsidR="00857EB1" w:rsidRPr="002B19EE">
              <w:rPr>
                <w:color w:val="auto"/>
                <w:sz w:val="22"/>
                <w:szCs w:val="22"/>
              </w:rPr>
              <w:t>Egypt</w:t>
            </w:r>
          </w:p>
          <w:p w:rsidR="00472A19" w:rsidRPr="002B19EE" w:rsidRDefault="00472A19" w:rsidP="00F15A45">
            <w:pPr>
              <w:pStyle w:val="Default"/>
              <w:numPr>
                <w:ilvl w:val="0"/>
                <w:numId w:val="3"/>
              </w:numPr>
              <w:ind w:left="334"/>
              <w:rPr>
                <w:color w:val="auto"/>
                <w:sz w:val="22"/>
                <w:szCs w:val="22"/>
              </w:rPr>
            </w:pPr>
            <w:r w:rsidRPr="002B19EE">
              <w:rPr>
                <w:color w:val="auto"/>
                <w:sz w:val="22"/>
                <w:szCs w:val="22"/>
              </w:rPr>
              <w:t>Post-1945 allies of Britain, France and the USA</w:t>
            </w:r>
          </w:p>
          <w:p w:rsidR="00472A19" w:rsidRPr="002B19EE" w:rsidRDefault="00472A19" w:rsidP="00F15A45">
            <w:pPr>
              <w:pStyle w:val="Default"/>
              <w:numPr>
                <w:ilvl w:val="0"/>
                <w:numId w:val="3"/>
              </w:numPr>
              <w:ind w:left="334"/>
              <w:rPr>
                <w:color w:val="auto"/>
                <w:sz w:val="22"/>
                <w:szCs w:val="22"/>
              </w:rPr>
            </w:pPr>
            <w:r w:rsidRPr="002B19EE">
              <w:rPr>
                <w:color w:val="auto"/>
                <w:sz w:val="22"/>
                <w:szCs w:val="22"/>
              </w:rPr>
              <w:t>Post-1945 allies of the Soviet Union</w:t>
            </w:r>
          </w:p>
        </w:tc>
        <w:tc>
          <w:tcPr>
            <w:tcW w:w="3704" w:type="dxa"/>
            <w:vMerge/>
          </w:tcPr>
          <w:p w:rsidR="0024481A" w:rsidRPr="002B19EE" w:rsidRDefault="0024481A" w:rsidP="002A698A">
            <w:pPr>
              <w:pStyle w:val="Default"/>
              <w:numPr>
                <w:ilvl w:val="0"/>
                <w:numId w:val="3"/>
              </w:numPr>
              <w:ind w:left="334"/>
              <w:rPr>
                <w:color w:val="auto"/>
                <w:sz w:val="22"/>
                <w:szCs w:val="22"/>
              </w:rPr>
            </w:pPr>
          </w:p>
        </w:tc>
      </w:tr>
      <w:tr w:rsidR="0024481A" w:rsidRPr="002B19EE" w:rsidTr="00C57259">
        <w:tc>
          <w:tcPr>
            <w:tcW w:w="2731" w:type="dxa"/>
            <w:vMerge/>
          </w:tcPr>
          <w:p w:rsidR="0024481A" w:rsidRPr="002B19EE" w:rsidRDefault="0024481A" w:rsidP="008E5637">
            <w:pPr>
              <w:pStyle w:val="Tabletext"/>
              <w:rPr>
                <w:sz w:val="22"/>
                <w:szCs w:val="22"/>
              </w:rPr>
            </w:pPr>
          </w:p>
        </w:tc>
        <w:tc>
          <w:tcPr>
            <w:tcW w:w="1759" w:type="dxa"/>
          </w:tcPr>
          <w:p w:rsidR="0024481A" w:rsidRPr="002B19EE" w:rsidRDefault="00D9481F" w:rsidP="00C57259">
            <w:pPr>
              <w:pStyle w:val="Default"/>
              <w:rPr>
                <w:color w:val="auto"/>
                <w:sz w:val="22"/>
                <w:szCs w:val="22"/>
              </w:rPr>
            </w:pPr>
            <w:r w:rsidRPr="002B19EE">
              <w:rPr>
                <w:color w:val="auto"/>
                <w:sz w:val="22"/>
                <w:szCs w:val="22"/>
              </w:rPr>
              <w:t>3</w:t>
            </w:r>
          </w:p>
        </w:tc>
        <w:tc>
          <w:tcPr>
            <w:tcW w:w="2547" w:type="dxa"/>
          </w:tcPr>
          <w:p w:rsidR="0024481A" w:rsidRPr="002B19EE" w:rsidRDefault="00F15A45" w:rsidP="00117BF4">
            <w:pPr>
              <w:pStyle w:val="Default"/>
              <w:rPr>
                <w:sz w:val="22"/>
                <w:szCs w:val="22"/>
              </w:rPr>
            </w:pPr>
            <w:r w:rsidRPr="002B19EE">
              <w:rPr>
                <w:sz w:val="22"/>
                <w:szCs w:val="22"/>
              </w:rPr>
              <w:t>Great Power involvement in War from 1914 through era Cold War to the Gulf Wars (1987, 1991 and 2003)</w:t>
            </w:r>
          </w:p>
        </w:tc>
        <w:tc>
          <w:tcPr>
            <w:tcW w:w="4119" w:type="dxa"/>
          </w:tcPr>
          <w:p w:rsidR="00A1689A" w:rsidRPr="002B19EE" w:rsidRDefault="00472A19" w:rsidP="00271CB3">
            <w:pPr>
              <w:pStyle w:val="Default"/>
              <w:numPr>
                <w:ilvl w:val="0"/>
                <w:numId w:val="3"/>
              </w:numPr>
              <w:ind w:left="334"/>
              <w:rPr>
                <w:color w:val="auto"/>
                <w:sz w:val="22"/>
                <w:szCs w:val="22"/>
              </w:rPr>
            </w:pPr>
            <w:r w:rsidRPr="002B19EE">
              <w:rPr>
                <w:color w:val="auto"/>
                <w:sz w:val="22"/>
                <w:szCs w:val="22"/>
              </w:rPr>
              <w:t>Role of the great powers in the First and Second World Wars in the Middle East</w:t>
            </w:r>
          </w:p>
          <w:p w:rsidR="00472A19" w:rsidRPr="002B19EE" w:rsidRDefault="00472A19" w:rsidP="00271CB3">
            <w:pPr>
              <w:pStyle w:val="Default"/>
              <w:numPr>
                <w:ilvl w:val="0"/>
                <w:numId w:val="3"/>
              </w:numPr>
              <w:ind w:left="334"/>
              <w:rPr>
                <w:color w:val="auto"/>
                <w:sz w:val="22"/>
                <w:szCs w:val="22"/>
              </w:rPr>
            </w:pPr>
            <w:r w:rsidRPr="002B19EE">
              <w:rPr>
                <w:color w:val="auto"/>
                <w:sz w:val="22"/>
                <w:szCs w:val="22"/>
              </w:rPr>
              <w:t>Role of the USA and USSR in the 1948, 167, and 1973 Arab-Israeli wars</w:t>
            </w:r>
          </w:p>
          <w:p w:rsidR="00472A19" w:rsidRPr="002B19EE" w:rsidRDefault="00472A19" w:rsidP="00271CB3">
            <w:pPr>
              <w:pStyle w:val="Default"/>
              <w:numPr>
                <w:ilvl w:val="0"/>
                <w:numId w:val="3"/>
              </w:numPr>
              <w:ind w:left="334"/>
              <w:rPr>
                <w:color w:val="auto"/>
                <w:sz w:val="22"/>
                <w:szCs w:val="22"/>
              </w:rPr>
            </w:pPr>
            <w:r w:rsidRPr="002B19EE">
              <w:rPr>
                <w:color w:val="auto"/>
                <w:sz w:val="22"/>
                <w:szCs w:val="22"/>
              </w:rPr>
              <w:t>Role of the USA and USSR in the Gulf Wars</w:t>
            </w:r>
          </w:p>
          <w:p w:rsidR="00472A19" w:rsidRPr="002B19EE" w:rsidRDefault="00472A19" w:rsidP="00271CB3">
            <w:pPr>
              <w:pStyle w:val="Default"/>
              <w:numPr>
                <w:ilvl w:val="0"/>
                <w:numId w:val="3"/>
              </w:numPr>
              <w:ind w:left="334"/>
              <w:rPr>
                <w:color w:val="auto"/>
                <w:sz w:val="22"/>
                <w:szCs w:val="22"/>
              </w:rPr>
            </w:pPr>
            <w:r w:rsidRPr="002B19EE">
              <w:rPr>
                <w:color w:val="auto"/>
                <w:sz w:val="22"/>
                <w:szCs w:val="22"/>
              </w:rPr>
              <w:t>Role of the USA and Russia in post-2008 conflicts and uprisings</w:t>
            </w:r>
          </w:p>
        </w:tc>
        <w:tc>
          <w:tcPr>
            <w:tcW w:w="3704" w:type="dxa"/>
            <w:vMerge/>
          </w:tcPr>
          <w:p w:rsidR="0024481A" w:rsidRPr="002B19EE" w:rsidRDefault="0024481A" w:rsidP="002A698A">
            <w:pPr>
              <w:pStyle w:val="Default"/>
              <w:numPr>
                <w:ilvl w:val="0"/>
                <w:numId w:val="3"/>
              </w:numPr>
              <w:ind w:left="334"/>
              <w:rPr>
                <w:color w:val="auto"/>
                <w:sz w:val="22"/>
                <w:szCs w:val="22"/>
              </w:rPr>
            </w:pPr>
          </w:p>
        </w:tc>
      </w:tr>
      <w:tr w:rsidR="00476991" w:rsidRPr="002B19EE" w:rsidTr="00C57259">
        <w:tc>
          <w:tcPr>
            <w:tcW w:w="2731" w:type="dxa"/>
          </w:tcPr>
          <w:p w:rsidR="00476991" w:rsidRPr="002B19EE" w:rsidRDefault="00476991" w:rsidP="008E5637">
            <w:pPr>
              <w:pStyle w:val="Tabletext"/>
              <w:rPr>
                <w:sz w:val="22"/>
                <w:szCs w:val="22"/>
              </w:rPr>
            </w:pPr>
          </w:p>
        </w:tc>
        <w:tc>
          <w:tcPr>
            <w:tcW w:w="1759" w:type="dxa"/>
          </w:tcPr>
          <w:p w:rsidR="00476991" w:rsidRPr="002B19EE" w:rsidRDefault="003553CB" w:rsidP="00C57259">
            <w:pPr>
              <w:pStyle w:val="Default"/>
              <w:rPr>
                <w:color w:val="auto"/>
                <w:sz w:val="22"/>
                <w:szCs w:val="22"/>
              </w:rPr>
            </w:pPr>
            <w:r w:rsidRPr="002B19EE">
              <w:rPr>
                <w:color w:val="auto"/>
                <w:sz w:val="22"/>
                <w:szCs w:val="22"/>
              </w:rPr>
              <w:t>1</w:t>
            </w:r>
          </w:p>
        </w:tc>
        <w:tc>
          <w:tcPr>
            <w:tcW w:w="2547" w:type="dxa"/>
          </w:tcPr>
          <w:p w:rsidR="00476991" w:rsidRPr="002B19EE" w:rsidRDefault="00476991" w:rsidP="00117BF4">
            <w:pPr>
              <w:pStyle w:val="Default"/>
              <w:rPr>
                <w:sz w:val="22"/>
                <w:szCs w:val="22"/>
              </w:rPr>
            </w:pPr>
            <w:r w:rsidRPr="002B19EE">
              <w:rPr>
                <w:sz w:val="22"/>
                <w:szCs w:val="22"/>
              </w:rPr>
              <w:t xml:space="preserve">The Great Powers and resources: oil, the Seven Sisters, concessions and nationalisation, the </w:t>
            </w:r>
            <w:proofErr w:type="spellStart"/>
            <w:r w:rsidRPr="002B19EE">
              <w:rPr>
                <w:sz w:val="22"/>
                <w:szCs w:val="22"/>
              </w:rPr>
              <w:t>Mossadeq</w:t>
            </w:r>
            <w:proofErr w:type="spellEnd"/>
            <w:r w:rsidRPr="002B19EE">
              <w:rPr>
                <w:sz w:val="22"/>
                <w:szCs w:val="22"/>
              </w:rPr>
              <w:t xml:space="preserve"> Coup 1953, OPEC and oil as a </w:t>
            </w:r>
            <w:r w:rsidRPr="002B19EE">
              <w:rPr>
                <w:sz w:val="22"/>
                <w:szCs w:val="22"/>
              </w:rPr>
              <w:lastRenderedPageBreak/>
              <w:t>weapon</w:t>
            </w:r>
          </w:p>
        </w:tc>
        <w:tc>
          <w:tcPr>
            <w:tcW w:w="4119" w:type="dxa"/>
          </w:tcPr>
          <w:p w:rsidR="00476991" w:rsidRPr="002B19EE" w:rsidRDefault="00476991" w:rsidP="00271CB3">
            <w:pPr>
              <w:pStyle w:val="Default"/>
              <w:numPr>
                <w:ilvl w:val="0"/>
                <w:numId w:val="3"/>
              </w:numPr>
              <w:ind w:left="334"/>
              <w:rPr>
                <w:color w:val="auto"/>
                <w:sz w:val="22"/>
                <w:szCs w:val="22"/>
              </w:rPr>
            </w:pPr>
            <w:r w:rsidRPr="002B19EE">
              <w:rPr>
                <w:color w:val="auto"/>
                <w:sz w:val="22"/>
                <w:szCs w:val="22"/>
              </w:rPr>
              <w:lastRenderedPageBreak/>
              <w:t>Reasons for the importance of oil to the great powers</w:t>
            </w:r>
          </w:p>
          <w:p w:rsidR="00476991" w:rsidRPr="002B19EE" w:rsidRDefault="00476991" w:rsidP="00271CB3">
            <w:pPr>
              <w:pStyle w:val="Default"/>
              <w:numPr>
                <w:ilvl w:val="0"/>
                <w:numId w:val="3"/>
              </w:numPr>
              <w:ind w:left="334"/>
              <w:rPr>
                <w:color w:val="auto"/>
                <w:sz w:val="22"/>
                <w:szCs w:val="22"/>
              </w:rPr>
            </w:pPr>
            <w:r w:rsidRPr="002B19EE">
              <w:rPr>
                <w:color w:val="auto"/>
                <w:sz w:val="22"/>
                <w:szCs w:val="22"/>
              </w:rPr>
              <w:t>Role and impact of the Seven Sisters</w:t>
            </w:r>
          </w:p>
          <w:p w:rsidR="00476991" w:rsidRPr="002B19EE" w:rsidRDefault="00476991" w:rsidP="00271CB3">
            <w:pPr>
              <w:pStyle w:val="Default"/>
              <w:numPr>
                <w:ilvl w:val="0"/>
                <w:numId w:val="3"/>
              </w:numPr>
              <w:ind w:left="334"/>
              <w:rPr>
                <w:color w:val="auto"/>
                <w:sz w:val="22"/>
                <w:szCs w:val="22"/>
              </w:rPr>
            </w:pPr>
            <w:r w:rsidRPr="002B19EE">
              <w:rPr>
                <w:color w:val="auto"/>
                <w:sz w:val="22"/>
                <w:szCs w:val="22"/>
              </w:rPr>
              <w:t xml:space="preserve">Reasons for the overthrow of </w:t>
            </w:r>
            <w:proofErr w:type="spellStart"/>
            <w:r w:rsidRPr="002B19EE">
              <w:rPr>
                <w:color w:val="auto"/>
                <w:sz w:val="22"/>
                <w:szCs w:val="22"/>
              </w:rPr>
              <w:t>Mossadeq</w:t>
            </w:r>
            <w:proofErr w:type="spellEnd"/>
          </w:p>
          <w:p w:rsidR="00476991" w:rsidRPr="002B19EE" w:rsidRDefault="00476991" w:rsidP="00271CB3">
            <w:pPr>
              <w:pStyle w:val="Default"/>
              <w:numPr>
                <w:ilvl w:val="0"/>
                <w:numId w:val="3"/>
              </w:numPr>
              <w:ind w:left="334"/>
              <w:rPr>
                <w:color w:val="auto"/>
                <w:sz w:val="22"/>
                <w:szCs w:val="22"/>
              </w:rPr>
            </w:pPr>
            <w:r w:rsidRPr="002B19EE">
              <w:rPr>
                <w:color w:val="auto"/>
                <w:sz w:val="22"/>
                <w:szCs w:val="22"/>
              </w:rPr>
              <w:lastRenderedPageBreak/>
              <w:t>Why was OPEC set up and how did it work?</w:t>
            </w:r>
          </w:p>
          <w:p w:rsidR="00476991" w:rsidRPr="002B19EE" w:rsidRDefault="00476991" w:rsidP="00271CB3">
            <w:pPr>
              <w:pStyle w:val="Default"/>
              <w:numPr>
                <w:ilvl w:val="0"/>
                <w:numId w:val="3"/>
              </w:numPr>
              <w:ind w:left="334"/>
              <w:rPr>
                <w:color w:val="auto"/>
                <w:sz w:val="22"/>
                <w:szCs w:val="22"/>
              </w:rPr>
            </w:pPr>
            <w:r w:rsidRPr="002B19EE">
              <w:rPr>
                <w:color w:val="auto"/>
                <w:sz w:val="22"/>
                <w:szCs w:val="22"/>
              </w:rPr>
              <w:t>How did OPEC use oil as a weapon e.g. in 1973</w:t>
            </w:r>
          </w:p>
        </w:tc>
        <w:tc>
          <w:tcPr>
            <w:tcW w:w="3704" w:type="dxa"/>
            <w:vMerge w:val="restart"/>
          </w:tcPr>
          <w:p w:rsidR="00476991" w:rsidRPr="002B19EE" w:rsidRDefault="00F676C2" w:rsidP="00842881">
            <w:pPr>
              <w:pStyle w:val="Default"/>
              <w:numPr>
                <w:ilvl w:val="0"/>
                <w:numId w:val="3"/>
              </w:numPr>
              <w:ind w:left="334"/>
              <w:rPr>
                <w:color w:val="auto"/>
                <w:sz w:val="22"/>
                <w:szCs w:val="22"/>
              </w:rPr>
            </w:pPr>
            <w:r w:rsidRPr="002B19EE">
              <w:rPr>
                <w:i/>
                <w:color w:val="auto"/>
                <w:sz w:val="22"/>
                <w:szCs w:val="22"/>
              </w:rPr>
              <w:lastRenderedPageBreak/>
              <w:t xml:space="preserve">Access to History: The Middle East 1908-2011 </w:t>
            </w:r>
            <w:r w:rsidR="00476991" w:rsidRPr="002B19EE">
              <w:rPr>
                <w:color w:val="auto"/>
                <w:sz w:val="22"/>
                <w:szCs w:val="22"/>
              </w:rPr>
              <w:t xml:space="preserve">(second edition), Michael Scott-Baumann (Hodder) </w:t>
            </w:r>
            <w:r w:rsidR="00476991" w:rsidRPr="002B19EE">
              <w:rPr>
                <w:i/>
                <w:color w:val="auto"/>
                <w:sz w:val="22"/>
                <w:szCs w:val="22"/>
              </w:rPr>
              <w:t>also contains an excellent bibliography</w:t>
            </w:r>
          </w:p>
          <w:p w:rsidR="00476991" w:rsidRPr="002B19EE" w:rsidRDefault="00F676C2" w:rsidP="00842881">
            <w:pPr>
              <w:pStyle w:val="Default"/>
              <w:numPr>
                <w:ilvl w:val="0"/>
                <w:numId w:val="3"/>
              </w:numPr>
              <w:ind w:left="334"/>
              <w:rPr>
                <w:color w:val="auto"/>
                <w:sz w:val="22"/>
                <w:szCs w:val="22"/>
              </w:rPr>
            </w:pPr>
            <w:r w:rsidRPr="002B19EE">
              <w:rPr>
                <w:i/>
                <w:color w:val="auto"/>
                <w:sz w:val="22"/>
                <w:szCs w:val="22"/>
              </w:rPr>
              <w:lastRenderedPageBreak/>
              <w:t xml:space="preserve">The Arab-Israeli Conflict (Seminar Studies in History), </w:t>
            </w:r>
            <w:proofErr w:type="spellStart"/>
            <w:r w:rsidR="00476991" w:rsidRPr="002B19EE">
              <w:rPr>
                <w:color w:val="auto"/>
                <w:sz w:val="22"/>
                <w:szCs w:val="22"/>
              </w:rPr>
              <w:t>Kisrten</w:t>
            </w:r>
            <w:proofErr w:type="spellEnd"/>
            <w:r w:rsidR="00476991" w:rsidRPr="002B19EE">
              <w:rPr>
                <w:color w:val="auto"/>
                <w:sz w:val="22"/>
                <w:szCs w:val="22"/>
              </w:rPr>
              <w:t xml:space="preserve"> E. Schulze</w:t>
            </w:r>
          </w:p>
          <w:p w:rsidR="0047699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A History of the Middle East (4th edition), </w:t>
            </w:r>
            <w:r w:rsidR="00476991" w:rsidRPr="002B19EE">
              <w:rPr>
                <w:color w:val="auto"/>
                <w:sz w:val="22"/>
                <w:szCs w:val="22"/>
              </w:rPr>
              <w:t>Peter Mansfield</w:t>
            </w:r>
          </w:p>
          <w:p w:rsidR="00476991" w:rsidRPr="002B19EE" w:rsidRDefault="00F676C2" w:rsidP="00842881">
            <w:pPr>
              <w:pStyle w:val="Default"/>
              <w:numPr>
                <w:ilvl w:val="0"/>
                <w:numId w:val="3"/>
              </w:numPr>
              <w:ind w:left="334"/>
              <w:rPr>
                <w:color w:val="auto"/>
                <w:sz w:val="22"/>
                <w:szCs w:val="22"/>
              </w:rPr>
            </w:pPr>
            <w:r w:rsidRPr="002B19EE">
              <w:rPr>
                <w:i/>
                <w:color w:val="auto"/>
                <w:sz w:val="22"/>
                <w:szCs w:val="22"/>
              </w:rPr>
              <w:t>The Palestinian-Israeli Conflict: A Very Short Introduction</w:t>
            </w:r>
            <w:r w:rsidR="00476991" w:rsidRPr="002B19EE">
              <w:rPr>
                <w:color w:val="auto"/>
                <w:sz w:val="22"/>
                <w:szCs w:val="22"/>
              </w:rPr>
              <w:t>, Martin Bunton</w:t>
            </w:r>
          </w:p>
          <w:p w:rsidR="00476991" w:rsidRPr="002B19EE" w:rsidRDefault="00F676C2" w:rsidP="00842881">
            <w:pPr>
              <w:pStyle w:val="Default"/>
              <w:numPr>
                <w:ilvl w:val="0"/>
                <w:numId w:val="3"/>
              </w:numPr>
              <w:ind w:left="334"/>
              <w:rPr>
                <w:color w:val="auto"/>
                <w:sz w:val="22"/>
                <w:szCs w:val="22"/>
              </w:rPr>
            </w:pPr>
            <w:r w:rsidRPr="002B19EE">
              <w:rPr>
                <w:i/>
                <w:color w:val="auto"/>
                <w:sz w:val="22"/>
                <w:szCs w:val="22"/>
              </w:rPr>
              <w:t>A Line in the Sand: Britain, France and the Struggle for Master of the Middle East</w:t>
            </w:r>
            <w:r w:rsidR="00476991" w:rsidRPr="002B19EE">
              <w:rPr>
                <w:color w:val="auto"/>
                <w:sz w:val="22"/>
                <w:szCs w:val="22"/>
              </w:rPr>
              <w:t>, James Barr</w:t>
            </w:r>
          </w:p>
          <w:p w:rsidR="00476991" w:rsidRPr="002B19EE" w:rsidRDefault="00F676C2" w:rsidP="00842881">
            <w:pPr>
              <w:pStyle w:val="Default"/>
              <w:numPr>
                <w:ilvl w:val="0"/>
                <w:numId w:val="3"/>
              </w:numPr>
              <w:ind w:left="334"/>
              <w:rPr>
                <w:color w:val="auto"/>
                <w:sz w:val="22"/>
                <w:szCs w:val="22"/>
              </w:rPr>
            </w:pPr>
            <w:r w:rsidRPr="002B19EE">
              <w:rPr>
                <w:i/>
                <w:color w:val="auto"/>
                <w:sz w:val="22"/>
                <w:szCs w:val="22"/>
              </w:rPr>
              <w:t>Cursed Victory: A History of Israeli and the Occupied Territories</w:t>
            </w:r>
            <w:r w:rsidR="00476991" w:rsidRPr="002B19EE">
              <w:rPr>
                <w:color w:val="auto"/>
                <w:sz w:val="22"/>
                <w:szCs w:val="22"/>
              </w:rPr>
              <w:t xml:space="preserve">, </w:t>
            </w:r>
            <w:proofErr w:type="spellStart"/>
            <w:r w:rsidR="00476991" w:rsidRPr="002B19EE">
              <w:rPr>
                <w:color w:val="auto"/>
                <w:sz w:val="22"/>
                <w:szCs w:val="22"/>
              </w:rPr>
              <w:t>Ahron</w:t>
            </w:r>
            <w:proofErr w:type="spellEnd"/>
            <w:r w:rsidR="00476991" w:rsidRPr="002B19EE">
              <w:rPr>
                <w:color w:val="auto"/>
                <w:sz w:val="22"/>
                <w:szCs w:val="22"/>
              </w:rPr>
              <w:t xml:space="preserve"> </w:t>
            </w:r>
            <w:proofErr w:type="spellStart"/>
            <w:r w:rsidR="00476991" w:rsidRPr="002B19EE">
              <w:rPr>
                <w:color w:val="auto"/>
                <w:sz w:val="22"/>
                <w:szCs w:val="22"/>
              </w:rPr>
              <w:t>Bregman</w:t>
            </w:r>
            <w:proofErr w:type="spellEnd"/>
          </w:p>
          <w:p w:rsidR="00476991" w:rsidRPr="002B19EE" w:rsidRDefault="00F676C2" w:rsidP="00842881">
            <w:pPr>
              <w:pStyle w:val="Default"/>
              <w:numPr>
                <w:ilvl w:val="0"/>
                <w:numId w:val="3"/>
              </w:numPr>
              <w:ind w:left="334"/>
              <w:rPr>
                <w:color w:val="auto"/>
                <w:sz w:val="22"/>
                <w:szCs w:val="22"/>
              </w:rPr>
            </w:pPr>
            <w:r w:rsidRPr="002B19EE">
              <w:rPr>
                <w:i/>
                <w:color w:val="auto"/>
                <w:sz w:val="22"/>
                <w:szCs w:val="22"/>
              </w:rPr>
              <w:t>The Arabs: A History – Second Edition</w:t>
            </w:r>
            <w:r w:rsidR="00476991" w:rsidRPr="002B19EE">
              <w:rPr>
                <w:color w:val="auto"/>
                <w:sz w:val="22"/>
                <w:szCs w:val="22"/>
              </w:rPr>
              <w:t>, Eugene Rogan</w:t>
            </w:r>
          </w:p>
        </w:tc>
      </w:tr>
      <w:tr w:rsidR="00476991" w:rsidRPr="002B19EE" w:rsidTr="00C57259">
        <w:tc>
          <w:tcPr>
            <w:tcW w:w="2731" w:type="dxa"/>
          </w:tcPr>
          <w:p w:rsidR="00476991" w:rsidRPr="002B19EE" w:rsidRDefault="00476991" w:rsidP="008E5637">
            <w:pPr>
              <w:pStyle w:val="Tabletext"/>
              <w:rPr>
                <w:sz w:val="22"/>
                <w:szCs w:val="22"/>
              </w:rPr>
            </w:pPr>
          </w:p>
        </w:tc>
        <w:tc>
          <w:tcPr>
            <w:tcW w:w="1759" w:type="dxa"/>
          </w:tcPr>
          <w:p w:rsidR="00476991" w:rsidRPr="002B19EE" w:rsidRDefault="003553CB" w:rsidP="00C57259">
            <w:pPr>
              <w:pStyle w:val="Default"/>
              <w:rPr>
                <w:color w:val="auto"/>
                <w:sz w:val="22"/>
                <w:szCs w:val="22"/>
              </w:rPr>
            </w:pPr>
            <w:r w:rsidRPr="002B19EE">
              <w:rPr>
                <w:color w:val="auto"/>
                <w:sz w:val="22"/>
                <w:szCs w:val="22"/>
              </w:rPr>
              <w:t>1</w:t>
            </w:r>
          </w:p>
        </w:tc>
        <w:tc>
          <w:tcPr>
            <w:tcW w:w="2547" w:type="dxa"/>
          </w:tcPr>
          <w:p w:rsidR="00476991" w:rsidRPr="002B19EE" w:rsidRDefault="00476991" w:rsidP="00117BF4">
            <w:pPr>
              <w:pStyle w:val="Default"/>
              <w:rPr>
                <w:sz w:val="22"/>
                <w:szCs w:val="22"/>
              </w:rPr>
            </w:pPr>
            <w:r w:rsidRPr="002B19EE">
              <w:rPr>
                <w:sz w:val="22"/>
                <w:szCs w:val="22"/>
              </w:rPr>
              <w:t>Oil wars and strategy</w:t>
            </w:r>
          </w:p>
        </w:tc>
        <w:tc>
          <w:tcPr>
            <w:tcW w:w="4119" w:type="dxa"/>
          </w:tcPr>
          <w:p w:rsidR="00476991" w:rsidRPr="002B19EE" w:rsidRDefault="00476991" w:rsidP="00271CB3">
            <w:pPr>
              <w:pStyle w:val="Default"/>
              <w:numPr>
                <w:ilvl w:val="0"/>
                <w:numId w:val="3"/>
              </w:numPr>
              <w:ind w:left="334"/>
              <w:rPr>
                <w:color w:val="auto"/>
                <w:sz w:val="22"/>
                <w:szCs w:val="22"/>
              </w:rPr>
            </w:pPr>
            <w:r w:rsidRPr="002B19EE">
              <w:rPr>
                <w:color w:val="auto"/>
                <w:sz w:val="22"/>
                <w:szCs w:val="22"/>
              </w:rPr>
              <w:t>Reasons for American involvement in the Iran-Iraq, Gulf and Iraq wars</w:t>
            </w:r>
          </w:p>
          <w:p w:rsidR="00476991" w:rsidRPr="002B19EE" w:rsidRDefault="00476991" w:rsidP="00271CB3">
            <w:pPr>
              <w:pStyle w:val="Default"/>
              <w:numPr>
                <w:ilvl w:val="0"/>
                <w:numId w:val="3"/>
              </w:numPr>
              <w:ind w:left="334"/>
              <w:rPr>
                <w:color w:val="auto"/>
                <w:sz w:val="22"/>
                <w:szCs w:val="22"/>
              </w:rPr>
            </w:pPr>
            <w:r w:rsidRPr="002B19EE">
              <w:rPr>
                <w:color w:val="auto"/>
                <w:sz w:val="22"/>
                <w:szCs w:val="22"/>
              </w:rPr>
              <w:t>Role of individual countries in oil wars and strategy e.g. Saddam Hussein’s Iraq</w:t>
            </w:r>
          </w:p>
        </w:tc>
        <w:tc>
          <w:tcPr>
            <w:tcW w:w="3704" w:type="dxa"/>
            <w:vMerge/>
          </w:tcPr>
          <w:p w:rsidR="00476991" w:rsidRPr="002B19EE" w:rsidRDefault="00476991" w:rsidP="002A698A">
            <w:pPr>
              <w:pStyle w:val="Default"/>
              <w:numPr>
                <w:ilvl w:val="0"/>
                <w:numId w:val="3"/>
              </w:numPr>
              <w:ind w:left="334"/>
              <w:rPr>
                <w:color w:val="auto"/>
                <w:sz w:val="22"/>
                <w:szCs w:val="22"/>
              </w:rPr>
            </w:pPr>
          </w:p>
        </w:tc>
      </w:tr>
      <w:tr w:rsidR="0024481A" w:rsidRPr="002B19EE" w:rsidTr="006B19C0">
        <w:tc>
          <w:tcPr>
            <w:tcW w:w="2731" w:type="dxa"/>
            <w:vMerge w:val="restart"/>
            <w:tcBorders>
              <w:top w:val="single" w:sz="4" w:space="0" w:color="auto"/>
            </w:tcBorders>
          </w:tcPr>
          <w:p w:rsidR="0024481A" w:rsidRPr="002B19EE" w:rsidRDefault="005E3BA5" w:rsidP="008E5637">
            <w:pPr>
              <w:pStyle w:val="Tabletext"/>
              <w:rPr>
                <w:b/>
                <w:bCs/>
                <w:sz w:val="22"/>
                <w:szCs w:val="22"/>
              </w:rPr>
            </w:pPr>
            <w:r w:rsidRPr="002B19EE">
              <w:rPr>
                <w:b/>
                <w:bCs/>
                <w:color w:val="000000"/>
                <w:sz w:val="22"/>
                <w:szCs w:val="22"/>
              </w:rPr>
              <w:t>Zionism, Israel and the Palestinian issue</w:t>
            </w:r>
          </w:p>
        </w:tc>
        <w:tc>
          <w:tcPr>
            <w:tcW w:w="1759" w:type="dxa"/>
          </w:tcPr>
          <w:p w:rsidR="0024481A" w:rsidRPr="002B19EE" w:rsidRDefault="00D9481F" w:rsidP="00C57259">
            <w:pPr>
              <w:pStyle w:val="Default"/>
              <w:rPr>
                <w:color w:val="auto"/>
                <w:sz w:val="22"/>
                <w:szCs w:val="22"/>
              </w:rPr>
            </w:pPr>
            <w:r w:rsidRPr="002B19EE">
              <w:rPr>
                <w:color w:val="auto"/>
                <w:sz w:val="22"/>
                <w:szCs w:val="22"/>
              </w:rPr>
              <w:t>2</w:t>
            </w:r>
          </w:p>
        </w:tc>
        <w:tc>
          <w:tcPr>
            <w:tcW w:w="2547" w:type="dxa"/>
          </w:tcPr>
          <w:p w:rsidR="0024481A" w:rsidRPr="002B19EE" w:rsidRDefault="005E3BA5" w:rsidP="00C57259">
            <w:pPr>
              <w:pStyle w:val="Pa19"/>
              <w:spacing w:after="80"/>
              <w:rPr>
                <w:rFonts w:ascii="Arial" w:hAnsi="Arial" w:cs="Arial"/>
                <w:color w:val="000000"/>
                <w:sz w:val="22"/>
                <w:szCs w:val="22"/>
              </w:rPr>
            </w:pPr>
            <w:r w:rsidRPr="002B19EE">
              <w:rPr>
                <w:rFonts w:ascii="Arial" w:hAnsi="Arial" w:cs="Arial"/>
                <w:color w:val="000000"/>
                <w:sz w:val="22"/>
                <w:szCs w:val="22"/>
              </w:rPr>
              <w:t xml:space="preserve">Zionist ideas and </w:t>
            </w:r>
            <w:r w:rsidR="007F0009" w:rsidRPr="002B19EE">
              <w:rPr>
                <w:rFonts w:ascii="Arial" w:hAnsi="Arial" w:cs="Arial"/>
                <w:color w:val="000000"/>
                <w:sz w:val="22"/>
                <w:szCs w:val="22"/>
              </w:rPr>
              <w:t>the impact of the First and Second World wars</w:t>
            </w:r>
            <w:r w:rsidR="0024481A" w:rsidRPr="002B19EE">
              <w:rPr>
                <w:rFonts w:ascii="Arial" w:hAnsi="Arial" w:cs="Arial"/>
                <w:color w:val="000000"/>
                <w:sz w:val="22"/>
                <w:szCs w:val="22"/>
              </w:rPr>
              <w:t xml:space="preserve"> </w:t>
            </w:r>
          </w:p>
        </w:tc>
        <w:tc>
          <w:tcPr>
            <w:tcW w:w="4119" w:type="dxa"/>
          </w:tcPr>
          <w:p w:rsidR="004C2FDD" w:rsidRPr="002B19EE" w:rsidRDefault="00E014D2" w:rsidP="00E014D2">
            <w:pPr>
              <w:pStyle w:val="Default"/>
              <w:numPr>
                <w:ilvl w:val="0"/>
                <w:numId w:val="57"/>
              </w:numPr>
              <w:rPr>
                <w:color w:val="auto"/>
                <w:sz w:val="22"/>
                <w:szCs w:val="22"/>
              </w:rPr>
            </w:pPr>
            <w:r w:rsidRPr="002B19EE">
              <w:rPr>
                <w:color w:val="auto"/>
                <w:sz w:val="22"/>
                <w:szCs w:val="22"/>
              </w:rPr>
              <w:t>Origins and development of Zionist ideas from Herzl</w:t>
            </w:r>
          </w:p>
          <w:p w:rsidR="00E014D2" w:rsidRPr="002B19EE" w:rsidRDefault="00E014D2" w:rsidP="00E014D2">
            <w:pPr>
              <w:pStyle w:val="Default"/>
              <w:numPr>
                <w:ilvl w:val="0"/>
                <w:numId w:val="57"/>
              </w:numPr>
              <w:rPr>
                <w:color w:val="auto"/>
                <w:sz w:val="22"/>
                <w:szCs w:val="22"/>
              </w:rPr>
            </w:pPr>
            <w:r w:rsidRPr="002B19EE">
              <w:rPr>
                <w:color w:val="auto"/>
                <w:sz w:val="22"/>
                <w:szCs w:val="22"/>
              </w:rPr>
              <w:t>Jewish emigration to Palestine before and during the First World War</w:t>
            </w:r>
          </w:p>
          <w:p w:rsidR="0074271F" w:rsidRPr="002B19EE" w:rsidRDefault="0074271F" w:rsidP="00E014D2">
            <w:pPr>
              <w:pStyle w:val="Default"/>
              <w:numPr>
                <w:ilvl w:val="0"/>
                <w:numId w:val="57"/>
              </w:numPr>
              <w:rPr>
                <w:color w:val="auto"/>
                <w:sz w:val="22"/>
                <w:szCs w:val="22"/>
              </w:rPr>
            </w:pPr>
            <w:r w:rsidRPr="002B19EE">
              <w:rPr>
                <w:color w:val="auto"/>
                <w:sz w:val="22"/>
                <w:szCs w:val="22"/>
              </w:rPr>
              <w:t>Growth of Zionism in the 1920 and 1930s</w:t>
            </w:r>
          </w:p>
          <w:p w:rsidR="0074271F" w:rsidRPr="002B19EE" w:rsidRDefault="0074271F" w:rsidP="00E014D2">
            <w:pPr>
              <w:pStyle w:val="Default"/>
              <w:numPr>
                <w:ilvl w:val="0"/>
                <w:numId w:val="57"/>
              </w:numPr>
              <w:rPr>
                <w:color w:val="auto"/>
                <w:sz w:val="22"/>
                <w:szCs w:val="22"/>
              </w:rPr>
            </w:pPr>
            <w:r w:rsidRPr="002B19EE">
              <w:rPr>
                <w:color w:val="auto"/>
                <w:sz w:val="22"/>
                <w:szCs w:val="22"/>
              </w:rPr>
              <w:t xml:space="preserve">How the second world war and the Holocaust influenced Zionism </w:t>
            </w:r>
          </w:p>
        </w:tc>
        <w:tc>
          <w:tcPr>
            <w:tcW w:w="3704" w:type="dxa"/>
            <w:vMerge w:val="restart"/>
          </w:tcPr>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Access to History: The Middle East 1908-2011 </w:t>
            </w:r>
            <w:r w:rsidR="00842881" w:rsidRPr="002B19EE">
              <w:rPr>
                <w:color w:val="auto"/>
                <w:sz w:val="22"/>
                <w:szCs w:val="22"/>
              </w:rPr>
              <w:t>(second edition), Michael Scott-Baumann (Hodder)</w:t>
            </w:r>
            <w:r w:rsidR="00D117EB" w:rsidRPr="002B19EE">
              <w:rPr>
                <w:color w:val="auto"/>
                <w:sz w:val="22"/>
                <w:szCs w:val="22"/>
              </w:rPr>
              <w:t xml:space="preserve"> </w:t>
            </w:r>
            <w:r w:rsidR="00D117EB" w:rsidRPr="002B19EE">
              <w:rPr>
                <w:i/>
                <w:color w:val="auto"/>
                <w:sz w:val="22"/>
                <w:szCs w:val="22"/>
              </w:rPr>
              <w:t>also contains an excellent bibliography</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The Arab-Israeli Conflict (Seminar Studies in History), </w:t>
            </w:r>
            <w:proofErr w:type="spellStart"/>
            <w:r w:rsidR="00842881" w:rsidRPr="002B19EE">
              <w:rPr>
                <w:color w:val="auto"/>
                <w:sz w:val="22"/>
                <w:szCs w:val="22"/>
              </w:rPr>
              <w:t>Kisrten</w:t>
            </w:r>
            <w:proofErr w:type="spellEnd"/>
            <w:r w:rsidR="00842881" w:rsidRPr="002B19EE">
              <w:rPr>
                <w:color w:val="auto"/>
                <w:sz w:val="22"/>
                <w:szCs w:val="22"/>
              </w:rPr>
              <w:t xml:space="preserve"> E. Schulze</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A History of the Middle East (4th edition), </w:t>
            </w:r>
            <w:r w:rsidR="00842881" w:rsidRPr="002B19EE">
              <w:rPr>
                <w:color w:val="auto"/>
                <w:sz w:val="22"/>
                <w:szCs w:val="22"/>
              </w:rPr>
              <w:t>Peter Mansfield</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The Palestinian-Israeli Conflict: A Very Short Introduction</w:t>
            </w:r>
            <w:r w:rsidR="00842881" w:rsidRPr="002B19EE">
              <w:rPr>
                <w:color w:val="auto"/>
                <w:sz w:val="22"/>
                <w:szCs w:val="22"/>
              </w:rPr>
              <w:t>, Martin Bunton</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A Line in the Sand: Britain, </w:t>
            </w:r>
            <w:r w:rsidRPr="002B19EE">
              <w:rPr>
                <w:i/>
                <w:color w:val="auto"/>
                <w:sz w:val="22"/>
                <w:szCs w:val="22"/>
              </w:rPr>
              <w:lastRenderedPageBreak/>
              <w:t>France and the Struggle for Master of the Middle East</w:t>
            </w:r>
            <w:r w:rsidR="00842881" w:rsidRPr="002B19EE">
              <w:rPr>
                <w:color w:val="auto"/>
                <w:sz w:val="22"/>
                <w:szCs w:val="22"/>
              </w:rPr>
              <w:t>, James Barr</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Cursed Victory: A History of Israeli and the Occupied Territories</w:t>
            </w:r>
            <w:r w:rsidR="00842881" w:rsidRPr="002B19EE">
              <w:rPr>
                <w:color w:val="auto"/>
                <w:sz w:val="22"/>
                <w:szCs w:val="22"/>
              </w:rPr>
              <w:t xml:space="preserve">, </w:t>
            </w:r>
            <w:proofErr w:type="spellStart"/>
            <w:r w:rsidR="00842881" w:rsidRPr="002B19EE">
              <w:rPr>
                <w:color w:val="auto"/>
                <w:sz w:val="22"/>
                <w:szCs w:val="22"/>
              </w:rPr>
              <w:t>Ahron</w:t>
            </w:r>
            <w:proofErr w:type="spellEnd"/>
            <w:r w:rsidR="00842881" w:rsidRPr="002B19EE">
              <w:rPr>
                <w:color w:val="auto"/>
                <w:sz w:val="22"/>
                <w:szCs w:val="22"/>
              </w:rPr>
              <w:t xml:space="preserve"> </w:t>
            </w:r>
            <w:proofErr w:type="spellStart"/>
            <w:r w:rsidR="00842881" w:rsidRPr="002B19EE">
              <w:rPr>
                <w:color w:val="auto"/>
                <w:sz w:val="22"/>
                <w:szCs w:val="22"/>
              </w:rPr>
              <w:t>Bregman</w:t>
            </w:r>
            <w:proofErr w:type="spellEnd"/>
          </w:p>
          <w:p w:rsidR="0024481A" w:rsidRPr="002B19EE" w:rsidRDefault="00F676C2" w:rsidP="00842881">
            <w:pPr>
              <w:pStyle w:val="Default"/>
              <w:numPr>
                <w:ilvl w:val="0"/>
                <w:numId w:val="3"/>
              </w:numPr>
              <w:ind w:left="334"/>
              <w:rPr>
                <w:color w:val="auto"/>
                <w:sz w:val="22"/>
                <w:szCs w:val="22"/>
              </w:rPr>
            </w:pPr>
            <w:r w:rsidRPr="002B19EE">
              <w:rPr>
                <w:i/>
                <w:color w:val="auto"/>
                <w:sz w:val="22"/>
                <w:szCs w:val="22"/>
              </w:rPr>
              <w:t>The Arabs: A History – Second Edition</w:t>
            </w:r>
            <w:r w:rsidR="00842881" w:rsidRPr="002B19EE">
              <w:rPr>
                <w:color w:val="auto"/>
                <w:sz w:val="22"/>
                <w:szCs w:val="22"/>
              </w:rPr>
              <w:t>, Eugene Rogan</w:t>
            </w:r>
          </w:p>
        </w:tc>
      </w:tr>
      <w:tr w:rsidR="0024481A" w:rsidRPr="002B19EE" w:rsidTr="00C57259">
        <w:tc>
          <w:tcPr>
            <w:tcW w:w="2731" w:type="dxa"/>
            <w:vMerge/>
          </w:tcPr>
          <w:p w:rsidR="0024481A" w:rsidRPr="002B19EE" w:rsidRDefault="0024481A" w:rsidP="008E5637">
            <w:pPr>
              <w:pStyle w:val="Tabletext"/>
              <w:rPr>
                <w:b/>
                <w:bCs/>
                <w:sz w:val="22"/>
                <w:szCs w:val="22"/>
              </w:rPr>
            </w:pPr>
          </w:p>
        </w:tc>
        <w:tc>
          <w:tcPr>
            <w:tcW w:w="1759" w:type="dxa"/>
          </w:tcPr>
          <w:p w:rsidR="0024481A" w:rsidRPr="002B19EE" w:rsidRDefault="003553CB" w:rsidP="00C57259">
            <w:pPr>
              <w:pStyle w:val="Default"/>
              <w:rPr>
                <w:color w:val="auto"/>
                <w:sz w:val="22"/>
                <w:szCs w:val="22"/>
              </w:rPr>
            </w:pPr>
            <w:r w:rsidRPr="002B19EE">
              <w:rPr>
                <w:color w:val="auto"/>
                <w:sz w:val="22"/>
                <w:szCs w:val="22"/>
              </w:rPr>
              <w:t>3</w:t>
            </w:r>
          </w:p>
        </w:tc>
        <w:tc>
          <w:tcPr>
            <w:tcW w:w="2547" w:type="dxa"/>
          </w:tcPr>
          <w:p w:rsidR="00C42A00" w:rsidRPr="002B19EE" w:rsidRDefault="007F0009" w:rsidP="00C42A00">
            <w:pPr>
              <w:pStyle w:val="Pa19"/>
              <w:spacing w:line="240" w:lineRule="auto"/>
              <w:rPr>
                <w:rFonts w:ascii="Arial" w:hAnsi="Arial" w:cs="Arial"/>
                <w:color w:val="000000"/>
                <w:sz w:val="22"/>
                <w:szCs w:val="22"/>
              </w:rPr>
            </w:pPr>
            <w:r w:rsidRPr="002B19EE">
              <w:rPr>
                <w:rFonts w:ascii="Arial" w:hAnsi="Arial" w:cs="Arial"/>
                <w:color w:val="000000"/>
                <w:sz w:val="22"/>
                <w:szCs w:val="22"/>
              </w:rPr>
              <w:t>The Jewish Agency</w:t>
            </w:r>
          </w:p>
          <w:p w:rsidR="007F0009" w:rsidRPr="002B19EE" w:rsidRDefault="007F0009" w:rsidP="007F0009">
            <w:pPr>
              <w:pStyle w:val="Default"/>
              <w:rPr>
                <w:sz w:val="22"/>
                <w:szCs w:val="22"/>
              </w:rPr>
            </w:pPr>
          </w:p>
          <w:p w:rsidR="007F0009" w:rsidRPr="002B19EE" w:rsidRDefault="007F0009" w:rsidP="007F0009">
            <w:pPr>
              <w:pStyle w:val="Default"/>
              <w:rPr>
                <w:sz w:val="22"/>
                <w:szCs w:val="22"/>
              </w:rPr>
            </w:pPr>
            <w:r w:rsidRPr="002B19EE">
              <w:rPr>
                <w:sz w:val="22"/>
                <w:szCs w:val="22"/>
              </w:rPr>
              <w:t>The creation of Israel and the 1948 war</w:t>
            </w:r>
          </w:p>
          <w:p w:rsidR="007F0009" w:rsidRPr="002B19EE" w:rsidRDefault="007F0009" w:rsidP="007F0009">
            <w:pPr>
              <w:pStyle w:val="Default"/>
              <w:rPr>
                <w:sz w:val="22"/>
                <w:szCs w:val="22"/>
              </w:rPr>
            </w:pPr>
          </w:p>
          <w:p w:rsidR="007F0009" w:rsidRPr="002B19EE" w:rsidRDefault="007F0009" w:rsidP="007F0009">
            <w:pPr>
              <w:pStyle w:val="Default"/>
              <w:rPr>
                <w:sz w:val="22"/>
                <w:szCs w:val="22"/>
              </w:rPr>
            </w:pPr>
            <w:r w:rsidRPr="002B19EE">
              <w:rPr>
                <w:sz w:val="22"/>
                <w:szCs w:val="22"/>
              </w:rPr>
              <w:t xml:space="preserve">Arab-Israeli Wars </w:t>
            </w:r>
            <w:r w:rsidRPr="002B19EE">
              <w:rPr>
                <w:sz w:val="22"/>
                <w:szCs w:val="22"/>
              </w:rPr>
              <w:lastRenderedPageBreak/>
              <w:t>(1956, 1967, 1973) and invasions (Lebanon 1982 and 2006, Gaza 2008)</w:t>
            </w:r>
          </w:p>
          <w:p w:rsidR="0024481A" w:rsidRPr="002B19EE" w:rsidRDefault="0024481A" w:rsidP="00652319">
            <w:pPr>
              <w:pStyle w:val="Pa19"/>
              <w:rPr>
                <w:rFonts w:ascii="Arial" w:hAnsi="Arial" w:cs="Arial"/>
                <w:color w:val="000000"/>
                <w:sz w:val="22"/>
                <w:szCs w:val="22"/>
              </w:rPr>
            </w:pPr>
          </w:p>
        </w:tc>
        <w:tc>
          <w:tcPr>
            <w:tcW w:w="4119" w:type="dxa"/>
          </w:tcPr>
          <w:p w:rsidR="00382D6E" w:rsidRPr="002B19EE" w:rsidRDefault="0054748B" w:rsidP="001E3619">
            <w:pPr>
              <w:pStyle w:val="Default"/>
              <w:numPr>
                <w:ilvl w:val="0"/>
                <w:numId w:val="3"/>
              </w:numPr>
              <w:ind w:left="334"/>
              <w:rPr>
                <w:color w:val="auto"/>
                <w:sz w:val="22"/>
                <w:szCs w:val="22"/>
              </w:rPr>
            </w:pPr>
            <w:r w:rsidRPr="002B19EE">
              <w:rPr>
                <w:color w:val="auto"/>
                <w:sz w:val="22"/>
                <w:szCs w:val="22"/>
              </w:rPr>
              <w:lastRenderedPageBreak/>
              <w:t>Reasons for the creation of the Jewish Agency</w:t>
            </w:r>
          </w:p>
          <w:p w:rsidR="0054748B" w:rsidRPr="002B19EE" w:rsidRDefault="0054748B" w:rsidP="001E3619">
            <w:pPr>
              <w:pStyle w:val="Default"/>
              <w:numPr>
                <w:ilvl w:val="0"/>
                <w:numId w:val="3"/>
              </w:numPr>
              <w:ind w:left="334"/>
              <w:rPr>
                <w:color w:val="auto"/>
                <w:sz w:val="22"/>
                <w:szCs w:val="22"/>
              </w:rPr>
            </w:pPr>
            <w:r w:rsidRPr="002B19EE">
              <w:rPr>
                <w:color w:val="auto"/>
                <w:sz w:val="22"/>
                <w:szCs w:val="22"/>
              </w:rPr>
              <w:t>How the Agency worked</w:t>
            </w:r>
          </w:p>
          <w:p w:rsidR="0097436C" w:rsidRPr="002B19EE" w:rsidRDefault="0097436C" w:rsidP="001E3619">
            <w:pPr>
              <w:pStyle w:val="Default"/>
              <w:numPr>
                <w:ilvl w:val="0"/>
                <w:numId w:val="3"/>
              </w:numPr>
              <w:ind w:left="334"/>
              <w:rPr>
                <w:color w:val="auto"/>
                <w:sz w:val="22"/>
                <w:szCs w:val="22"/>
              </w:rPr>
            </w:pPr>
            <w:r w:rsidRPr="002B19EE">
              <w:rPr>
                <w:color w:val="auto"/>
                <w:sz w:val="22"/>
                <w:szCs w:val="22"/>
              </w:rPr>
              <w:t>Role of Zionism and anti-Zionism in Arab-Israeli Wars and invasions</w:t>
            </w:r>
          </w:p>
          <w:p w:rsidR="0097436C" w:rsidRPr="002B19EE" w:rsidRDefault="0097436C" w:rsidP="001E3619">
            <w:pPr>
              <w:pStyle w:val="Default"/>
              <w:numPr>
                <w:ilvl w:val="0"/>
                <w:numId w:val="3"/>
              </w:numPr>
              <w:ind w:left="334"/>
              <w:rPr>
                <w:color w:val="auto"/>
                <w:sz w:val="22"/>
                <w:szCs w:val="22"/>
              </w:rPr>
            </w:pPr>
            <w:r w:rsidRPr="002B19EE">
              <w:rPr>
                <w:color w:val="auto"/>
                <w:sz w:val="22"/>
                <w:szCs w:val="22"/>
              </w:rPr>
              <w:t xml:space="preserve">Impact of Arab-Israeli Wars and </w:t>
            </w:r>
            <w:r w:rsidRPr="002B19EE">
              <w:rPr>
                <w:color w:val="auto"/>
                <w:sz w:val="22"/>
                <w:szCs w:val="22"/>
              </w:rPr>
              <w:lastRenderedPageBreak/>
              <w:t>invasions on Palestinian issue</w:t>
            </w:r>
          </w:p>
        </w:tc>
        <w:tc>
          <w:tcPr>
            <w:tcW w:w="3704" w:type="dxa"/>
            <w:vMerge/>
          </w:tcPr>
          <w:p w:rsidR="0024481A" w:rsidRPr="002B19EE" w:rsidRDefault="0024481A" w:rsidP="002A698A">
            <w:pPr>
              <w:pStyle w:val="Default"/>
              <w:numPr>
                <w:ilvl w:val="0"/>
                <w:numId w:val="3"/>
              </w:numPr>
              <w:ind w:left="334"/>
              <w:rPr>
                <w:color w:val="auto"/>
                <w:sz w:val="22"/>
                <w:szCs w:val="22"/>
              </w:rPr>
            </w:pPr>
          </w:p>
        </w:tc>
      </w:tr>
      <w:tr w:rsidR="0024481A" w:rsidRPr="002B19EE" w:rsidTr="00C57259">
        <w:tc>
          <w:tcPr>
            <w:tcW w:w="2731" w:type="dxa"/>
            <w:vMerge/>
          </w:tcPr>
          <w:p w:rsidR="0024481A" w:rsidRPr="002B19EE" w:rsidRDefault="0024481A" w:rsidP="00C57259">
            <w:pPr>
              <w:pStyle w:val="Default"/>
              <w:rPr>
                <w:color w:val="auto"/>
                <w:sz w:val="22"/>
                <w:szCs w:val="22"/>
              </w:rPr>
            </w:pPr>
          </w:p>
        </w:tc>
        <w:tc>
          <w:tcPr>
            <w:tcW w:w="1759" w:type="dxa"/>
          </w:tcPr>
          <w:p w:rsidR="0024481A" w:rsidRPr="002B19EE" w:rsidRDefault="00D9481F" w:rsidP="00C57259">
            <w:pPr>
              <w:pStyle w:val="Default"/>
              <w:rPr>
                <w:color w:val="auto"/>
                <w:sz w:val="22"/>
                <w:szCs w:val="22"/>
              </w:rPr>
            </w:pPr>
            <w:r w:rsidRPr="002B19EE">
              <w:rPr>
                <w:color w:val="auto"/>
                <w:sz w:val="22"/>
                <w:szCs w:val="22"/>
              </w:rPr>
              <w:t>3</w:t>
            </w:r>
          </w:p>
        </w:tc>
        <w:tc>
          <w:tcPr>
            <w:tcW w:w="2547" w:type="dxa"/>
          </w:tcPr>
          <w:p w:rsidR="007F0009" w:rsidRPr="002B19EE" w:rsidRDefault="007F0009" w:rsidP="00652319">
            <w:pPr>
              <w:pStyle w:val="Pa19"/>
              <w:spacing w:line="240" w:lineRule="auto"/>
              <w:rPr>
                <w:rFonts w:ascii="Arial" w:hAnsi="Arial" w:cs="Arial"/>
                <w:color w:val="000000"/>
                <w:sz w:val="22"/>
                <w:szCs w:val="22"/>
              </w:rPr>
            </w:pPr>
            <w:r w:rsidRPr="002B19EE">
              <w:rPr>
                <w:rFonts w:ascii="Arial" w:hAnsi="Arial" w:cs="Arial"/>
                <w:color w:val="000000"/>
                <w:sz w:val="22"/>
                <w:szCs w:val="22"/>
              </w:rPr>
              <w:t xml:space="preserve">The Occupied </w:t>
            </w:r>
            <w:r w:rsidR="00857EB1" w:rsidRPr="002B19EE">
              <w:rPr>
                <w:rFonts w:ascii="Arial" w:hAnsi="Arial" w:cs="Arial"/>
                <w:color w:val="000000"/>
                <w:sz w:val="22"/>
                <w:szCs w:val="22"/>
              </w:rPr>
              <w:t>Territories</w:t>
            </w:r>
            <w:r w:rsidRPr="002B19EE">
              <w:rPr>
                <w:rFonts w:ascii="Arial" w:hAnsi="Arial" w:cs="Arial"/>
                <w:color w:val="000000"/>
                <w:sz w:val="22"/>
                <w:szCs w:val="22"/>
              </w:rPr>
              <w:t xml:space="preserve"> </w:t>
            </w:r>
            <w:r w:rsidR="00857EB1" w:rsidRPr="002B19EE">
              <w:rPr>
                <w:rFonts w:ascii="Arial" w:hAnsi="Arial" w:cs="Arial"/>
                <w:color w:val="000000"/>
                <w:sz w:val="22"/>
                <w:szCs w:val="22"/>
              </w:rPr>
              <w:t>settlements</w:t>
            </w:r>
            <w:r w:rsidRPr="002B19EE">
              <w:rPr>
                <w:rFonts w:ascii="Arial" w:hAnsi="Arial" w:cs="Arial"/>
                <w:color w:val="000000"/>
                <w:sz w:val="22"/>
                <w:szCs w:val="22"/>
              </w:rPr>
              <w:t xml:space="preserve"> and wall</w:t>
            </w:r>
          </w:p>
          <w:p w:rsidR="007F0009" w:rsidRPr="002B19EE" w:rsidRDefault="007F0009" w:rsidP="00652319">
            <w:pPr>
              <w:pStyle w:val="Pa19"/>
              <w:spacing w:line="240" w:lineRule="auto"/>
              <w:rPr>
                <w:rFonts w:ascii="Arial" w:hAnsi="Arial" w:cs="Arial"/>
                <w:color w:val="000000"/>
                <w:sz w:val="22"/>
                <w:szCs w:val="22"/>
              </w:rPr>
            </w:pPr>
          </w:p>
          <w:p w:rsidR="0024481A" w:rsidRPr="002B19EE" w:rsidRDefault="007F0009" w:rsidP="00652319">
            <w:pPr>
              <w:pStyle w:val="Pa19"/>
              <w:spacing w:line="240" w:lineRule="auto"/>
              <w:rPr>
                <w:rFonts w:ascii="Arial" w:hAnsi="Arial" w:cs="Arial"/>
                <w:color w:val="000000"/>
                <w:sz w:val="22"/>
                <w:szCs w:val="22"/>
              </w:rPr>
            </w:pPr>
            <w:r w:rsidRPr="002B19EE">
              <w:rPr>
                <w:rFonts w:ascii="Arial" w:hAnsi="Arial" w:cs="Arial"/>
                <w:color w:val="000000"/>
                <w:sz w:val="22"/>
                <w:szCs w:val="22"/>
              </w:rPr>
              <w:t>Israeli leadership and diplomacy including Sadat, Camp David and Oslo, the Road Map for peace</w:t>
            </w:r>
            <w:r w:rsidR="0024481A" w:rsidRPr="002B19EE">
              <w:rPr>
                <w:rFonts w:ascii="Arial" w:hAnsi="Arial" w:cs="Arial"/>
                <w:color w:val="000000"/>
                <w:sz w:val="22"/>
                <w:szCs w:val="22"/>
              </w:rPr>
              <w:t xml:space="preserve"> </w:t>
            </w:r>
          </w:p>
        </w:tc>
        <w:tc>
          <w:tcPr>
            <w:tcW w:w="4119" w:type="dxa"/>
          </w:tcPr>
          <w:p w:rsidR="0024481A" w:rsidRPr="002B19EE" w:rsidRDefault="00442D92" w:rsidP="00020A7C">
            <w:pPr>
              <w:pStyle w:val="Default"/>
              <w:numPr>
                <w:ilvl w:val="0"/>
                <w:numId w:val="3"/>
              </w:numPr>
              <w:ind w:left="334"/>
              <w:rPr>
                <w:color w:val="auto"/>
                <w:sz w:val="22"/>
                <w:szCs w:val="22"/>
              </w:rPr>
            </w:pPr>
            <w:r w:rsidRPr="002B19EE">
              <w:rPr>
                <w:color w:val="auto"/>
                <w:sz w:val="22"/>
                <w:szCs w:val="22"/>
              </w:rPr>
              <w:t>Dates of occupation</w:t>
            </w:r>
          </w:p>
          <w:p w:rsidR="00442D92" w:rsidRPr="002B19EE" w:rsidRDefault="00442D92" w:rsidP="00020A7C">
            <w:pPr>
              <w:pStyle w:val="Default"/>
              <w:numPr>
                <w:ilvl w:val="0"/>
                <w:numId w:val="3"/>
              </w:numPr>
              <w:ind w:left="334"/>
              <w:rPr>
                <w:color w:val="auto"/>
                <w:sz w:val="22"/>
                <w:szCs w:val="22"/>
              </w:rPr>
            </w:pPr>
            <w:r w:rsidRPr="002B19EE">
              <w:rPr>
                <w:color w:val="auto"/>
                <w:sz w:val="22"/>
                <w:szCs w:val="22"/>
              </w:rPr>
              <w:t>Reasons for increasing settlements</w:t>
            </w:r>
          </w:p>
          <w:p w:rsidR="00442D92" w:rsidRPr="002B19EE" w:rsidRDefault="00442D92" w:rsidP="00020A7C">
            <w:pPr>
              <w:pStyle w:val="Default"/>
              <w:numPr>
                <w:ilvl w:val="0"/>
                <w:numId w:val="3"/>
              </w:numPr>
              <w:ind w:left="334"/>
              <w:rPr>
                <w:color w:val="auto"/>
                <w:sz w:val="22"/>
                <w:szCs w:val="22"/>
              </w:rPr>
            </w:pPr>
            <w:r w:rsidRPr="002B19EE">
              <w:rPr>
                <w:color w:val="auto"/>
                <w:sz w:val="22"/>
                <w:szCs w:val="22"/>
              </w:rPr>
              <w:t xml:space="preserve">Reactions to settlement  building </w:t>
            </w:r>
          </w:p>
          <w:p w:rsidR="00442D92" w:rsidRPr="002B19EE" w:rsidRDefault="00442D92" w:rsidP="00020A7C">
            <w:pPr>
              <w:pStyle w:val="Default"/>
              <w:numPr>
                <w:ilvl w:val="0"/>
                <w:numId w:val="3"/>
              </w:numPr>
              <w:ind w:left="334"/>
              <w:rPr>
                <w:color w:val="auto"/>
                <w:sz w:val="22"/>
                <w:szCs w:val="22"/>
              </w:rPr>
            </w:pPr>
            <w:r w:rsidRPr="002B19EE">
              <w:rPr>
                <w:color w:val="auto"/>
                <w:sz w:val="22"/>
                <w:szCs w:val="22"/>
              </w:rPr>
              <w:t>Reason for building the wall</w:t>
            </w:r>
          </w:p>
          <w:p w:rsidR="0097436C" w:rsidRPr="002B19EE" w:rsidRDefault="0097436C" w:rsidP="00020A7C">
            <w:pPr>
              <w:pStyle w:val="Default"/>
              <w:numPr>
                <w:ilvl w:val="0"/>
                <w:numId w:val="3"/>
              </w:numPr>
              <w:ind w:left="334"/>
              <w:rPr>
                <w:color w:val="auto"/>
                <w:sz w:val="22"/>
                <w:szCs w:val="22"/>
              </w:rPr>
            </w:pPr>
            <w:r w:rsidRPr="002B19EE">
              <w:rPr>
                <w:color w:val="auto"/>
                <w:sz w:val="22"/>
                <w:szCs w:val="22"/>
              </w:rPr>
              <w:t xml:space="preserve">Characteristics and key features </w:t>
            </w:r>
            <w:r w:rsidR="007C5750" w:rsidRPr="002B19EE">
              <w:rPr>
                <w:color w:val="auto"/>
                <w:sz w:val="22"/>
                <w:szCs w:val="22"/>
              </w:rPr>
              <w:t>of Israeli leadership and diplomacy</w:t>
            </w:r>
          </w:p>
        </w:tc>
        <w:tc>
          <w:tcPr>
            <w:tcW w:w="3704" w:type="dxa"/>
            <w:vMerge/>
          </w:tcPr>
          <w:p w:rsidR="0024481A" w:rsidRPr="002B19EE" w:rsidRDefault="0024481A" w:rsidP="002A698A">
            <w:pPr>
              <w:pStyle w:val="Default"/>
              <w:numPr>
                <w:ilvl w:val="0"/>
                <w:numId w:val="3"/>
              </w:numPr>
              <w:ind w:left="334"/>
              <w:rPr>
                <w:color w:val="auto"/>
                <w:sz w:val="22"/>
                <w:szCs w:val="22"/>
              </w:rPr>
            </w:pPr>
          </w:p>
        </w:tc>
      </w:tr>
      <w:tr w:rsidR="0024481A" w:rsidRPr="002B19EE" w:rsidTr="00C57259">
        <w:tc>
          <w:tcPr>
            <w:tcW w:w="2731" w:type="dxa"/>
            <w:vMerge/>
          </w:tcPr>
          <w:p w:rsidR="0024481A" w:rsidRPr="002B19EE" w:rsidRDefault="0024481A" w:rsidP="00C57259">
            <w:pPr>
              <w:pStyle w:val="Default"/>
              <w:rPr>
                <w:color w:val="auto"/>
                <w:sz w:val="22"/>
                <w:szCs w:val="22"/>
              </w:rPr>
            </w:pPr>
          </w:p>
        </w:tc>
        <w:tc>
          <w:tcPr>
            <w:tcW w:w="1759" w:type="dxa"/>
          </w:tcPr>
          <w:p w:rsidR="0024481A" w:rsidRPr="002B19EE" w:rsidRDefault="00D9481F" w:rsidP="00C57259">
            <w:pPr>
              <w:pStyle w:val="Default"/>
              <w:rPr>
                <w:color w:val="auto"/>
                <w:sz w:val="22"/>
                <w:szCs w:val="22"/>
              </w:rPr>
            </w:pPr>
            <w:r w:rsidRPr="002B19EE">
              <w:rPr>
                <w:color w:val="auto"/>
                <w:sz w:val="22"/>
                <w:szCs w:val="22"/>
              </w:rPr>
              <w:t>4</w:t>
            </w:r>
          </w:p>
        </w:tc>
        <w:tc>
          <w:tcPr>
            <w:tcW w:w="2547" w:type="dxa"/>
          </w:tcPr>
          <w:p w:rsidR="0024481A" w:rsidRPr="002B19EE" w:rsidRDefault="007F0009" w:rsidP="00652319">
            <w:pPr>
              <w:pStyle w:val="Default"/>
              <w:rPr>
                <w:sz w:val="22"/>
                <w:szCs w:val="22"/>
              </w:rPr>
            </w:pPr>
            <w:r w:rsidRPr="002B19EE">
              <w:rPr>
                <w:sz w:val="22"/>
                <w:szCs w:val="22"/>
              </w:rPr>
              <w:t>Palestine to 1948</w:t>
            </w:r>
          </w:p>
          <w:p w:rsidR="007C5750" w:rsidRPr="002B19EE" w:rsidRDefault="007C5750" w:rsidP="00652319">
            <w:pPr>
              <w:pStyle w:val="Default"/>
              <w:rPr>
                <w:sz w:val="22"/>
                <w:szCs w:val="22"/>
              </w:rPr>
            </w:pPr>
          </w:p>
          <w:p w:rsidR="007F0009" w:rsidRPr="002B19EE" w:rsidRDefault="007F0009" w:rsidP="00652319">
            <w:pPr>
              <w:pStyle w:val="Default"/>
              <w:rPr>
                <w:sz w:val="22"/>
                <w:szCs w:val="22"/>
              </w:rPr>
            </w:pPr>
            <w:r w:rsidRPr="002B19EE">
              <w:rPr>
                <w:sz w:val="22"/>
                <w:szCs w:val="22"/>
              </w:rPr>
              <w:t>Palestinian refugees and the impact on Jordan, Lebanon and Gaza</w:t>
            </w:r>
          </w:p>
          <w:p w:rsidR="007F0009" w:rsidRPr="002B19EE" w:rsidRDefault="007F0009" w:rsidP="00652319">
            <w:pPr>
              <w:pStyle w:val="Default"/>
              <w:rPr>
                <w:sz w:val="22"/>
                <w:szCs w:val="22"/>
              </w:rPr>
            </w:pPr>
          </w:p>
          <w:p w:rsidR="007F0009" w:rsidRPr="002B19EE" w:rsidRDefault="007F0009" w:rsidP="00652319">
            <w:pPr>
              <w:pStyle w:val="Default"/>
              <w:rPr>
                <w:sz w:val="22"/>
                <w:szCs w:val="22"/>
              </w:rPr>
            </w:pPr>
            <w:r w:rsidRPr="002B19EE">
              <w:rPr>
                <w:sz w:val="22"/>
                <w:szCs w:val="22"/>
              </w:rPr>
              <w:t>The PLO and Arafat</w:t>
            </w:r>
          </w:p>
          <w:p w:rsidR="007F0009" w:rsidRPr="002B19EE" w:rsidRDefault="007F0009" w:rsidP="00652319">
            <w:pPr>
              <w:pStyle w:val="Default"/>
              <w:rPr>
                <w:sz w:val="22"/>
                <w:szCs w:val="22"/>
              </w:rPr>
            </w:pPr>
          </w:p>
          <w:p w:rsidR="007F0009" w:rsidRPr="002B19EE" w:rsidRDefault="007F0009" w:rsidP="00652319">
            <w:pPr>
              <w:pStyle w:val="Default"/>
              <w:rPr>
                <w:sz w:val="22"/>
                <w:szCs w:val="22"/>
              </w:rPr>
            </w:pPr>
            <w:r w:rsidRPr="002B19EE">
              <w:rPr>
                <w:sz w:val="22"/>
                <w:szCs w:val="22"/>
              </w:rPr>
              <w:t>Intifadas (1987-1993, 2000-2011) and Palestinian divisions</w:t>
            </w:r>
          </w:p>
          <w:p w:rsidR="007F0009" w:rsidRPr="002B19EE" w:rsidRDefault="007F0009" w:rsidP="00652319">
            <w:pPr>
              <w:pStyle w:val="Default"/>
              <w:rPr>
                <w:sz w:val="22"/>
                <w:szCs w:val="22"/>
              </w:rPr>
            </w:pPr>
          </w:p>
          <w:p w:rsidR="007F0009" w:rsidRPr="002B19EE" w:rsidRDefault="007F0009" w:rsidP="00652319">
            <w:pPr>
              <w:pStyle w:val="Default"/>
              <w:rPr>
                <w:sz w:val="22"/>
                <w:szCs w:val="22"/>
              </w:rPr>
            </w:pPr>
            <w:r w:rsidRPr="002B19EE">
              <w:rPr>
                <w:sz w:val="22"/>
                <w:szCs w:val="22"/>
              </w:rPr>
              <w:t xml:space="preserve">The Palestinian Authority: the West Bank, Gaza, land, water and the </w:t>
            </w:r>
            <w:r w:rsidR="00857EB1" w:rsidRPr="002B19EE">
              <w:rPr>
                <w:sz w:val="22"/>
                <w:szCs w:val="22"/>
              </w:rPr>
              <w:t>conflict</w:t>
            </w:r>
            <w:r w:rsidRPr="002B19EE">
              <w:rPr>
                <w:sz w:val="22"/>
                <w:szCs w:val="22"/>
              </w:rPr>
              <w:t xml:space="preserve"> over resources</w:t>
            </w:r>
          </w:p>
        </w:tc>
        <w:tc>
          <w:tcPr>
            <w:tcW w:w="4119" w:type="dxa"/>
          </w:tcPr>
          <w:p w:rsidR="008A0E0A" w:rsidRPr="002B19EE" w:rsidRDefault="007C5750" w:rsidP="00107D4D">
            <w:pPr>
              <w:pStyle w:val="Default"/>
              <w:numPr>
                <w:ilvl w:val="0"/>
                <w:numId w:val="3"/>
              </w:numPr>
              <w:ind w:left="360"/>
              <w:rPr>
                <w:color w:val="auto"/>
                <w:sz w:val="22"/>
                <w:szCs w:val="22"/>
              </w:rPr>
            </w:pPr>
            <w:r w:rsidRPr="002B19EE">
              <w:rPr>
                <w:color w:val="auto"/>
                <w:sz w:val="22"/>
                <w:szCs w:val="22"/>
              </w:rPr>
              <w:t>Life in Palestine to 1948: groups, economy, society, tensions</w:t>
            </w:r>
          </w:p>
          <w:p w:rsidR="007C5750" w:rsidRPr="002B19EE" w:rsidRDefault="007C5750" w:rsidP="00107D4D">
            <w:pPr>
              <w:pStyle w:val="Default"/>
              <w:numPr>
                <w:ilvl w:val="0"/>
                <w:numId w:val="3"/>
              </w:numPr>
              <w:ind w:left="360"/>
              <w:rPr>
                <w:color w:val="auto"/>
                <w:sz w:val="22"/>
                <w:szCs w:val="22"/>
              </w:rPr>
            </w:pPr>
            <w:r w:rsidRPr="002B19EE">
              <w:rPr>
                <w:color w:val="auto"/>
                <w:sz w:val="22"/>
                <w:szCs w:val="22"/>
              </w:rPr>
              <w:t>Conditions for refugees</w:t>
            </w:r>
          </w:p>
          <w:p w:rsidR="00107D4D" w:rsidRDefault="007C5750" w:rsidP="00107D4D">
            <w:pPr>
              <w:pStyle w:val="Default"/>
              <w:numPr>
                <w:ilvl w:val="0"/>
                <w:numId w:val="3"/>
              </w:numPr>
              <w:ind w:left="360"/>
              <w:rPr>
                <w:color w:val="auto"/>
                <w:sz w:val="22"/>
                <w:szCs w:val="22"/>
              </w:rPr>
            </w:pPr>
            <w:r w:rsidRPr="00107D4D">
              <w:rPr>
                <w:color w:val="auto"/>
                <w:sz w:val="22"/>
                <w:szCs w:val="22"/>
              </w:rPr>
              <w:t>Rise of political movements in Jordan, Lebanon, Gaza e.g. Hezbollah</w:t>
            </w:r>
          </w:p>
          <w:p w:rsidR="00107D4D" w:rsidRDefault="007C5750" w:rsidP="00107D4D">
            <w:pPr>
              <w:pStyle w:val="Default"/>
              <w:numPr>
                <w:ilvl w:val="0"/>
                <w:numId w:val="3"/>
              </w:numPr>
              <w:ind w:left="360"/>
              <w:rPr>
                <w:color w:val="auto"/>
                <w:sz w:val="22"/>
                <w:szCs w:val="22"/>
              </w:rPr>
            </w:pPr>
            <w:r w:rsidRPr="00107D4D">
              <w:rPr>
                <w:color w:val="auto"/>
                <w:sz w:val="22"/>
                <w:szCs w:val="22"/>
              </w:rPr>
              <w:t>Reasons for the creation of the PLO</w:t>
            </w:r>
          </w:p>
          <w:p w:rsidR="00107D4D" w:rsidRDefault="007C5750" w:rsidP="00107D4D">
            <w:pPr>
              <w:pStyle w:val="Default"/>
              <w:numPr>
                <w:ilvl w:val="0"/>
                <w:numId w:val="3"/>
              </w:numPr>
              <w:ind w:left="360"/>
              <w:rPr>
                <w:color w:val="auto"/>
                <w:sz w:val="22"/>
                <w:szCs w:val="22"/>
              </w:rPr>
            </w:pPr>
            <w:r w:rsidRPr="00107D4D">
              <w:rPr>
                <w:color w:val="auto"/>
                <w:sz w:val="22"/>
                <w:szCs w:val="22"/>
              </w:rPr>
              <w:t>Actions of the PLO and effects on the Middle East</w:t>
            </w:r>
          </w:p>
          <w:p w:rsidR="007C5750" w:rsidRPr="002B19EE" w:rsidRDefault="007C5750" w:rsidP="00107D4D">
            <w:pPr>
              <w:pStyle w:val="Default"/>
              <w:numPr>
                <w:ilvl w:val="0"/>
                <w:numId w:val="3"/>
              </w:numPr>
              <w:ind w:left="360"/>
            </w:pPr>
            <w:r w:rsidRPr="00107D4D">
              <w:rPr>
                <w:color w:val="auto"/>
                <w:sz w:val="22"/>
                <w:szCs w:val="22"/>
              </w:rPr>
              <w:t xml:space="preserve">Reasons for, and </w:t>
            </w:r>
            <w:r w:rsidR="00857EB1" w:rsidRPr="00107D4D">
              <w:rPr>
                <w:color w:val="auto"/>
                <w:sz w:val="22"/>
                <w:szCs w:val="22"/>
              </w:rPr>
              <w:t>consequences</w:t>
            </w:r>
            <w:r w:rsidRPr="00107D4D">
              <w:rPr>
                <w:color w:val="auto"/>
                <w:sz w:val="22"/>
                <w:szCs w:val="22"/>
              </w:rPr>
              <w:t xml:space="preserve"> of Intifadas</w:t>
            </w:r>
          </w:p>
          <w:p w:rsidR="007C5750" w:rsidRPr="002B19EE" w:rsidRDefault="007C5750" w:rsidP="00107D4D">
            <w:pPr>
              <w:pStyle w:val="Default"/>
              <w:numPr>
                <w:ilvl w:val="0"/>
                <w:numId w:val="3"/>
              </w:numPr>
              <w:ind w:left="360"/>
            </w:pPr>
            <w:r w:rsidRPr="002B19EE">
              <w:rPr>
                <w:color w:val="auto"/>
                <w:sz w:val="22"/>
                <w:szCs w:val="22"/>
              </w:rPr>
              <w:t>How the authority was administered</w:t>
            </w:r>
          </w:p>
          <w:p w:rsidR="007C5750" w:rsidRPr="002B19EE" w:rsidRDefault="007C5750" w:rsidP="00107D4D">
            <w:pPr>
              <w:pStyle w:val="Default"/>
              <w:numPr>
                <w:ilvl w:val="0"/>
                <w:numId w:val="3"/>
              </w:numPr>
              <w:ind w:left="360"/>
              <w:rPr>
                <w:color w:val="auto"/>
                <w:sz w:val="22"/>
                <w:szCs w:val="22"/>
              </w:rPr>
            </w:pPr>
            <w:r w:rsidRPr="002B19EE">
              <w:rPr>
                <w:color w:val="auto"/>
                <w:sz w:val="22"/>
                <w:szCs w:val="22"/>
              </w:rPr>
              <w:t>Political, economic and social tensions</w:t>
            </w:r>
          </w:p>
        </w:tc>
        <w:tc>
          <w:tcPr>
            <w:tcW w:w="3704" w:type="dxa"/>
            <w:vMerge/>
          </w:tcPr>
          <w:p w:rsidR="0024481A" w:rsidRPr="002B19EE" w:rsidRDefault="0024481A" w:rsidP="002A698A">
            <w:pPr>
              <w:pStyle w:val="Default"/>
              <w:numPr>
                <w:ilvl w:val="0"/>
                <w:numId w:val="3"/>
              </w:numPr>
              <w:ind w:left="334"/>
              <w:rPr>
                <w:color w:val="auto"/>
                <w:sz w:val="22"/>
                <w:szCs w:val="22"/>
              </w:rPr>
            </w:pPr>
          </w:p>
        </w:tc>
      </w:tr>
      <w:tr w:rsidR="00BC7A86" w:rsidRPr="002B19EE" w:rsidTr="006B19C0">
        <w:tc>
          <w:tcPr>
            <w:tcW w:w="2731" w:type="dxa"/>
          </w:tcPr>
          <w:p w:rsidR="00BC7A86" w:rsidRPr="002B19EE" w:rsidRDefault="007F0009" w:rsidP="006B19C0">
            <w:pPr>
              <w:pStyle w:val="Default"/>
              <w:rPr>
                <w:b/>
                <w:bCs/>
                <w:color w:val="auto"/>
                <w:sz w:val="22"/>
                <w:szCs w:val="22"/>
              </w:rPr>
            </w:pPr>
            <w:r w:rsidRPr="002B19EE">
              <w:rPr>
                <w:b/>
                <w:bCs/>
                <w:sz w:val="22"/>
                <w:szCs w:val="22"/>
              </w:rPr>
              <w:lastRenderedPageBreak/>
              <w:t xml:space="preserve">Statehood and Pan Arabism in the Middle East </w:t>
            </w:r>
          </w:p>
        </w:tc>
        <w:tc>
          <w:tcPr>
            <w:tcW w:w="1759" w:type="dxa"/>
          </w:tcPr>
          <w:p w:rsidR="00BC7A86" w:rsidRPr="002B19EE" w:rsidRDefault="00D9481F" w:rsidP="006B19C0">
            <w:pPr>
              <w:autoSpaceDE w:val="0"/>
              <w:autoSpaceDN w:val="0"/>
              <w:adjustRightInd w:val="0"/>
              <w:spacing w:before="0" w:after="80"/>
              <w:rPr>
                <w:bCs/>
              </w:rPr>
            </w:pPr>
            <w:r w:rsidRPr="002B19EE">
              <w:rPr>
                <w:bCs/>
              </w:rPr>
              <w:t>2</w:t>
            </w:r>
          </w:p>
        </w:tc>
        <w:tc>
          <w:tcPr>
            <w:tcW w:w="2547" w:type="dxa"/>
          </w:tcPr>
          <w:p w:rsidR="00BC7A86" w:rsidRPr="002B19EE" w:rsidRDefault="004B66DC" w:rsidP="001C5CD5">
            <w:pPr>
              <w:pStyle w:val="Pa19"/>
              <w:spacing w:line="240" w:lineRule="auto"/>
              <w:rPr>
                <w:rFonts w:ascii="Arial" w:hAnsi="Arial" w:cs="Arial"/>
                <w:color w:val="000000"/>
                <w:sz w:val="22"/>
                <w:szCs w:val="22"/>
              </w:rPr>
            </w:pPr>
            <w:r w:rsidRPr="002B19EE">
              <w:rPr>
                <w:rFonts w:ascii="Arial" w:hAnsi="Arial" w:cs="Arial"/>
                <w:color w:val="000000"/>
                <w:sz w:val="22"/>
                <w:szCs w:val="22"/>
              </w:rPr>
              <w:t>The progress of Arabism from 1908</w:t>
            </w:r>
          </w:p>
        </w:tc>
        <w:tc>
          <w:tcPr>
            <w:tcW w:w="4119" w:type="dxa"/>
          </w:tcPr>
          <w:p w:rsidR="00BC7A86" w:rsidRPr="002B19EE" w:rsidRDefault="00DA11DF" w:rsidP="00111991">
            <w:pPr>
              <w:pStyle w:val="Default"/>
              <w:numPr>
                <w:ilvl w:val="0"/>
                <w:numId w:val="3"/>
              </w:numPr>
              <w:ind w:left="334"/>
              <w:rPr>
                <w:color w:val="auto"/>
                <w:sz w:val="22"/>
                <w:szCs w:val="22"/>
              </w:rPr>
            </w:pPr>
            <w:r w:rsidRPr="002B19EE">
              <w:rPr>
                <w:sz w:val="22"/>
                <w:szCs w:val="22"/>
              </w:rPr>
              <w:t xml:space="preserve"> </w:t>
            </w:r>
            <w:r w:rsidR="007C5750" w:rsidRPr="002B19EE">
              <w:rPr>
                <w:sz w:val="22"/>
                <w:szCs w:val="22"/>
              </w:rPr>
              <w:t>What was Pan Arabism?</w:t>
            </w:r>
          </w:p>
          <w:p w:rsidR="007C5750" w:rsidRPr="002B19EE" w:rsidRDefault="007C5750" w:rsidP="00111991">
            <w:pPr>
              <w:pStyle w:val="Default"/>
              <w:numPr>
                <w:ilvl w:val="0"/>
                <w:numId w:val="3"/>
              </w:numPr>
              <w:ind w:left="334"/>
              <w:rPr>
                <w:color w:val="auto"/>
                <w:sz w:val="22"/>
                <w:szCs w:val="22"/>
              </w:rPr>
            </w:pPr>
            <w:r w:rsidRPr="002B19EE">
              <w:rPr>
                <w:sz w:val="22"/>
                <w:szCs w:val="22"/>
              </w:rPr>
              <w:t>How did it develop from 1908?</w:t>
            </w:r>
          </w:p>
          <w:p w:rsidR="007C5750" w:rsidRPr="002B19EE" w:rsidRDefault="007C5750" w:rsidP="00111991">
            <w:pPr>
              <w:pStyle w:val="Default"/>
              <w:numPr>
                <w:ilvl w:val="0"/>
                <w:numId w:val="3"/>
              </w:numPr>
              <w:ind w:left="334"/>
              <w:rPr>
                <w:color w:val="auto"/>
                <w:sz w:val="22"/>
                <w:szCs w:val="22"/>
              </w:rPr>
            </w:pPr>
            <w:r w:rsidRPr="002B19EE">
              <w:rPr>
                <w:sz w:val="22"/>
                <w:szCs w:val="22"/>
              </w:rPr>
              <w:t>Why did it gain in popularity and why did it wane?</w:t>
            </w:r>
          </w:p>
        </w:tc>
        <w:tc>
          <w:tcPr>
            <w:tcW w:w="3704" w:type="dxa"/>
            <w:vMerge w:val="restart"/>
          </w:tcPr>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Access to History: The Middle East 1908-2011 </w:t>
            </w:r>
            <w:r w:rsidR="00842881" w:rsidRPr="002B19EE">
              <w:rPr>
                <w:color w:val="auto"/>
                <w:sz w:val="22"/>
                <w:szCs w:val="22"/>
              </w:rPr>
              <w:t>(second edition), Michael Scott-Baumann (Hodder)</w:t>
            </w:r>
            <w:r w:rsidR="00D117EB" w:rsidRPr="002B19EE">
              <w:rPr>
                <w:color w:val="auto"/>
                <w:sz w:val="22"/>
                <w:szCs w:val="22"/>
              </w:rPr>
              <w:t xml:space="preserve"> </w:t>
            </w:r>
            <w:r w:rsidR="00D117EB" w:rsidRPr="002B19EE">
              <w:rPr>
                <w:i/>
                <w:color w:val="auto"/>
                <w:sz w:val="22"/>
                <w:szCs w:val="22"/>
              </w:rPr>
              <w:t>also contains an excellent bibliography</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The Arab-Israeli Conflict (Seminar Studies in History), </w:t>
            </w:r>
            <w:proofErr w:type="spellStart"/>
            <w:r w:rsidR="00842881" w:rsidRPr="002B19EE">
              <w:rPr>
                <w:color w:val="auto"/>
                <w:sz w:val="22"/>
                <w:szCs w:val="22"/>
              </w:rPr>
              <w:t>Kisrten</w:t>
            </w:r>
            <w:proofErr w:type="spellEnd"/>
            <w:r w:rsidR="00842881" w:rsidRPr="002B19EE">
              <w:rPr>
                <w:color w:val="auto"/>
                <w:sz w:val="22"/>
                <w:szCs w:val="22"/>
              </w:rPr>
              <w:t xml:space="preserve"> E. Schulze</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A History of the Middle East (4th edition), </w:t>
            </w:r>
            <w:r w:rsidR="00842881" w:rsidRPr="002B19EE">
              <w:rPr>
                <w:color w:val="auto"/>
                <w:sz w:val="22"/>
                <w:szCs w:val="22"/>
              </w:rPr>
              <w:t>Peter Mansfield</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The Palestinian-Israeli Conflict: A Very Short Introduction</w:t>
            </w:r>
            <w:r w:rsidR="00842881" w:rsidRPr="002B19EE">
              <w:rPr>
                <w:color w:val="auto"/>
                <w:sz w:val="22"/>
                <w:szCs w:val="22"/>
              </w:rPr>
              <w:t>, Martin Bunton</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A Line in the Sand: Britain, France and the Struggle for Master of the Middle East</w:t>
            </w:r>
            <w:r w:rsidR="00842881" w:rsidRPr="002B19EE">
              <w:rPr>
                <w:color w:val="auto"/>
                <w:sz w:val="22"/>
                <w:szCs w:val="22"/>
              </w:rPr>
              <w:t>, James Barr</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Cursed Victory: A History of Israeli and the Occupied Territories</w:t>
            </w:r>
            <w:r w:rsidR="00842881" w:rsidRPr="002B19EE">
              <w:rPr>
                <w:color w:val="auto"/>
                <w:sz w:val="22"/>
                <w:szCs w:val="22"/>
              </w:rPr>
              <w:t xml:space="preserve">, </w:t>
            </w:r>
            <w:proofErr w:type="spellStart"/>
            <w:r w:rsidR="00842881" w:rsidRPr="002B19EE">
              <w:rPr>
                <w:color w:val="auto"/>
                <w:sz w:val="22"/>
                <w:szCs w:val="22"/>
              </w:rPr>
              <w:t>Ahron</w:t>
            </w:r>
            <w:proofErr w:type="spellEnd"/>
            <w:r w:rsidR="00842881" w:rsidRPr="002B19EE">
              <w:rPr>
                <w:color w:val="auto"/>
                <w:sz w:val="22"/>
                <w:szCs w:val="22"/>
              </w:rPr>
              <w:t xml:space="preserve"> </w:t>
            </w:r>
            <w:proofErr w:type="spellStart"/>
            <w:r w:rsidR="00842881" w:rsidRPr="002B19EE">
              <w:rPr>
                <w:color w:val="auto"/>
                <w:sz w:val="22"/>
                <w:szCs w:val="22"/>
              </w:rPr>
              <w:t>Bregman</w:t>
            </w:r>
            <w:proofErr w:type="spellEnd"/>
          </w:p>
          <w:p w:rsidR="00BC7A86" w:rsidRPr="002B19EE" w:rsidRDefault="00F676C2" w:rsidP="00842881">
            <w:pPr>
              <w:pStyle w:val="Default"/>
              <w:numPr>
                <w:ilvl w:val="0"/>
                <w:numId w:val="3"/>
              </w:numPr>
              <w:ind w:left="334"/>
              <w:rPr>
                <w:color w:val="auto"/>
                <w:sz w:val="22"/>
                <w:szCs w:val="22"/>
              </w:rPr>
            </w:pPr>
            <w:r w:rsidRPr="002B19EE">
              <w:rPr>
                <w:i/>
                <w:color w:val="auto"/>
                <w:sz w:val="22"/>
                <w:szCs w:val="22"/>
              </w:rPr>
              <w:t>The Arabs: A History – Second Edition</w:t>
            </w:r>
            <w:r w:rsidR="00842881" w:rsidRPr="002B19EE">
              <w:rPr>
                <w:color w:val="auto"/>
                <w:sz w:val="22"/>
                <w:szCs w:val="22"/>
              </w:rPr>
              <w:t>, Eugene Rogan</w:t>
            </w:r>
          </w:p>
        </w:tc>
      </w:tr>
      <w:tr w:rsidR="00BC7A86" w:rsidRPr="002B19EE" w:rsidTr="006B19C0">
        <w:tc>
          <w:tcPr>
            <w:tcW w:w="2731" w:type="dxa"/>
          </w:tcPr>
          <w:p w:rsidR="00BC7A86" w:rsidRPr="002B19EE" w:rsidRDefault="00BC7A86" w:rsidP="006B19C0">
            <w:pPr>
              <w:pStyle w:val="Default"/>
              <w:rPr>
                <w:b/>
                <w:bCs/>
                <w:sz w:val="22"/>
                <w:szCs w:val="22"/>
              </w:rPr>
            </w:pPr>
          </w:p>
        </w:tc>
        <w:tc>
          <w:tcPr>
            <w:tcW w:w="1759" w:type="dxa"/>
          </w:tcPr>
          <w:p w:rsidR="00BC7A86" w:rsidRPr="002B19EE" w:rsidRDefault="00D9481F" w:rsidP="006B19C0">
            <w:pPr>
              <w:autoSpaceDE w:val="0"/>
              <w:autoSpaceDN w:val="0"/>
              <w:adjustRightInd w:val="0"/>
              <w:spacing w:before="0" w:after="80"/>
              <w:rPr>
                <w:bCs/>
              </w:rPr>
            </w:pPr>
            <w:r w:rsidRPr="002B19EE">
              <w:rPr>
                <w:bCs/>
              </w:rPr>
              <w:t>3</w:t>
            </w:r>
          </w:p>
        </w:tc>
        <w:tc>
          <w:tcPr>
            <w:tcW w:w="2547" w:type="dxa"/>
          </w:tcPr>
          <w:p w:rsidR="00BC7A86" w:rsidRPr="002B19EE" w:rsidRDefault="004B66DC" w:rsidP="00C57259">
            <w:pPr>
              <w:pStyle w:val="Pa19"/>
              <w:spacing w:after="80"/>
              <w:rPr>
                <w:rFonts w:ascii="Arial" w:hAnsi="Arial" w:cs="Arial"/>
                <w:color w:val="000000"/>
                <w:sz w:val="22"/>
                <w:szCs w:val="22"/>
              </w:rPr>
            </w:pPr>
            <w:r w:rsidRPr="002B19EE">
              <w:rPr>
                <w:rFonts w:ascii="Arial" w:hAnsi="Arial" w:cs="Arial"/>
                <w:color w:val="000000"/>
                <w:sz w:val="22"/>
                <w:szCs w:val="22"/>
              </w:rPr>
              <w:t>Nasser and the Arab revolution in Egypt and Syria 1954-70</w:t>
            </w:r>
          </w:p>
          <w:p w:rsidR="004B66DC" w:rsidRPr="002B19EE" w:rsidRDefault="004B66DC" w:rsidP="004B66DC">
            <w:pPr>
              <w:pStyle w:val="Default"/>
              <w:rPr>
                <w:sz w:val="22"/>
                <w:szCs w:val="22"/>
              </w:rPr>
            </w:pPr>
            <w:r w:rsidRPr="002B19EE">
              <w:rPr>
                <w:sz w:val="22"/>
                <w:szCs w:val="22"/>
              </w:rPr>
              <w:t>The impact of the Arab-Israeli Wars and regional rivalries</w:t>
            </w:r>
          </w:p>
        </w:tc>
        <w:tc>
          <w:tcPr>
            <w:tcW w:w="4119" w:type="dxa"/>
          </w:tcPr>
          <w:p w:rsidR="00740872" w:rsidRPr="002B19EE" w:rsidRDefault="007C5750" w:rsidP="00020A7C">
            <w:pPr>
              <w:pStyle w:val="Default"/>
              <w:numPr>
                <w:ilvl w:val="0"/>
                <w:numId w:val="3"/>
              </w:numPr>
              <w:ind w:left="334"/>
              <w:rPr>
                <w:color w:val="auto"/>
                <w:sz w:val="22"/>
                <w:szCs w:val="22"/>
              </w:rPr>
            </w:pPr>
            <w:r w:rsidRPr="002B19EE">
              <w:rPr>
                <w:color w:val="auto"/>
                <w:sz w:val="22"/>
                <w:szCs w:val="22"/>
              </w:rPr>
              <w:t>Role of Nasser in Pan-Arabism</w:t>
            </w:r>
          </w:p>
          <w:p w:rsidR="007C5750" w:rsidRPr="002B19EE" w:rsidRDefault="007C5750" w:rsidP="00020A7C">
            <w:pPr>
              <w:pStyle w:val="Default"/>
              <w:numPr>
                <w:ilvl w:val="0"/>
                <w:numId w:val="3"/>
              </w:numPr>
              <w:ind w:left="334"/>
              <w:rPr>
                <w:color w:val="auto"/>
                <w:sz w:val="22"/>
                <w:szCs w:val="22"/>
              </w:rPr>
            </w:pPr>
            <w:r w:rsidRPr="002B19EE">
              <w:rPr>
                <w:color w:val="auto"/>
                <w:sz w:val="22"/>
                <w:szCs w:val="22"/>
              </w:rPr>
              <w:t>Nasser’s Egypt – key features</w:t>
            </w:r>
          </w:p>
          <w:p w:rsidR="007C5750" w:rsidRPr="002B19EE" w:rsidRDefault="007C5750" w:rsidP="00020A7C">
            <w:pPr>
              <w:pStyle w:val="Default"/>
              <w:numPr>
                <w:ilvl w:val="0"/>
                <w:numId w:val="3"/>
              </w:numPr>
              <w:ind w:left="334"/>
              <w:rPr>
                <w:color w:val="auto"/>
                <w:sz w:val="22"/>
                <w:szCs w:val="22"/>
              </w:rPr>
            </w:pPr>
            <w:r w:rsidRPr="002B19EE">
              <w:rPr>
                <w:color w:val="auto"/>
                <w:sz w:val="22"/>
                <w:szCs w:val="22"/>
              </w:rPr>
              <w:t>Nasser’s role in development of Syria</w:t>
            </w:r>
          </w:p>
          <w:p w:rsidR="007C5750" w:rsidRPr="002B19EE" w:rsidRDefault="007C5750" w:rsidP="00020A7C">
            <w:pPr>
              <w:pStyle w:val="Default"/>
              <w:numPr>
                <w:ilvl w:val="0"/>
                <w:numId w:val="3"/>
              </w:numPr>
              <w:ind w:left="334"/>
              <w:rPr>
                <w:color w:val="auto"/>
                <w:sz w:val="22"/>
                <w:szCs w:val="22"/>
              </w:rPr>
            </w:pPr>
            <w:r w:rsidRPr="002B19EE">
              <w:rPr>
                <w:color w:val="auto"/>
                <w:sz w:val="22"/>
                <w:szCs w:val="22"/>
              </w:rPr>
              <w:t>How the wars impacted on Nasser and Pan-Arabism in general</w:t>
            </w:r>
          </w:p>
        </w:tc>
        <w:tc>
          <w:tcPr>
            <w:tcW w:w="3704" w:type="dxa"/>
            <w:vMerge/>
          </w:tcPr>
          <w:p w:rsidR="00BC7A86" w:rsidRPr="002B19EE" w:rsidRDefault="00BC7A86" w:rsidP="002A698A">
            <w:pPr>
              <w:pStyle w:val="Default"/>
              <w:numPr>
                <w:ilvl w:val="0"/>
                <w:numId w:val="3"/>
              </w:numPr>
              <w:ind w:left="334"/>
              <w:rPr>
                <w:color w:val="auto"/>
                <w:sz w:val="22"/>
                <w:szCs w:val="22"/>
              </w:rPr>
            </w:pPr>
          </w:p>
        </w:tc>
      </w:tr>
      <w:tr w:rsidR="00BC7A86" w:rsidRPr="002B19EE" w:rsidTr="006B19C0">
        <w:tc>
          <w:tcPr>
            <w:tcW w:w="2731" w:type="dxa"/>
          </w:tcPr>
          <w:p w:rsidR="00BC7A86" w:rsidRPr="002B19EE" w:rsidRDefault="00BC7A86" w:rsidP="006B19C0">
            <w:pPr>
              <w:pStyle w:val="Default"/>
              <w:rPr>
                <w:b/>
                <w:bCs/>
                <w:sz w:val="22"/>
                <w:szCs w:val="22"/>
              </w:rPr>
            </w:pPr>
          </w:p>
        </w:tc>
        <w:tc>
          <w:tcPr>
            <w:tcW w:w="1759" w:type="dxa"/>
          </w:tcPr>
          <w:p w:rsidR="00BC7A86" w:rsidRPr="002B19EE" w:rsidRDefault="00D9481F" w:rsidP="006B19C0">
            <w:pPr>
              <w:autoSpaceDE w:val="0"/>
              <w:autoSpaceDN w:val="0"/>
              <w:adjustRightInd w:val="0"/>
              <w:spacing w:before="0" w:after="80"/>
              <w:rPr>
                <w:bCs/>
              </w:rPr>
            </w:pPr>
            <w:r w:rsidRPr="002B19EE">
              <w:rPr>
                <w:bCs/>
              </w:rPr>
              <w:t>2</w:t>
            </w:r>
          </w:p>
        </w:tc>
        <w:tc>
          <w:tcPr>
            <w:tcW w:w="2547" w:type="dxa"/>
          </w:tcPr>
          <w:p w:rsidR="00BC7A86" w:rsidRPr="002B19EE" w:rsidRDefault="008B7C67" w:rsidP="00C57259">
            <w:pPr>
              <w:pStyle w:val="Pa19"/>
              <w:spacing w:after="80"/>
              <w:rPr>
                <w:rFonts w:ascii="Arial" w:hAnsi="Arial" w:cs="Arial"/>
                <w:color w:val="000000"/>
                <w:sz w:val="22"/>
                <w:szCs w:val="22"/>
              </w:rPr>
            </w:pPr>
            <w:r w:rsidRPr="002B19EE">
              <w:rPr>
                <w:rFonts w:ascii="Arial" w:hAnsi="Arial" w:cs="Arial"/>
                <w:color w:val="000000"/>
                <w:sz w:val="22"/>
                <w:szCs w:val="22"/>
              </w:rPr>
              <w:t xml:space="preserve">Democratic, monarchical and authoritarian states including Ataturk’s secular state and its successors; monarchies including Jordan, Saudi </w:t>
            </w:r>
            <w:r w:rsidR="007C5750" w:rsidRPr="002B19EE">
              <w:rPr>
                <w:rFonts w:ascii="Arial" w:hAnsi="Arial" w:cs="Arial"/>
                <w:color w:val="000000"/>
                <w:sz w:val="22"/>
                <w:szCs w:val="22"/>
              </w:rPr>
              <w:t>Arabia</w:t>
            </w:r>
            <w:r w:rsidRPr="002B19EE">
              <w:rPr>
                <w:rFonts w:ascii="Arial" w:hAnsi="Arial" w:cs="Arial"/>
                <w:color w:val="000000"/>
                <w:sz w:val="22"/>
                <w:szCs w:val="22"/>
              </w:rPr>
              <w:t xml:space="preserve"> and the Wahhabi Movement</w:t>
            </w:r>
          </w:p>
        </w:tc>
        <w:tc>
          <w:tcPr>
            <w:tcW w:w="4119" w:type="dxa"/>
          </w:tcPr>
          <w:p w:rsidR="004514A4" w:rsidRPr="002B19EE" w:rsidRDefault="007C5750" w:rsidP="004514A4">
            <w:pPr>
              <w:pStyle w:val="Default"/>
              <w:numPr>
                <w:ilvl w:val="0"/>
                <w:numId w:val="3"/>
              </w:numPr>
              <w:ind w:left="334"/>
              <w:rPr>
                <w:color w:val="auto"/>
                <w:sz w:val="22"/>
                <w:szCs w:val="22"/>
              </w:rPr>
            </w:pPr>
            <w:r w:rsidRPr="002B19EE">
              <w:rPr>
                <w:color w:val="auto"/>
                <w:sz w:val="22"/>
                <w:szCs w:val="22"/>
              </w:rPr>
              <w:t>Key features and characteristics of political, religious and economic development in these states</w:t>
            </w:r>
          </w:p>
        </w:tc>
        <w:tc>
          <w:tcPr>
            <w:tcW w:w="3704" w:type="dxa"/>
            <w:vMerge/>
          </w:tcPr>
          <w:p w:rsidR="00BC7A86" w:rsidRPr="002B19EE" w:rsidRDefault="00BC7A86" w:rsidP="002A698A">
            <w:pPr>
              <w:pStyle w:val="Default"/>
              <w:numPr>
                <w:ilvl w:val="0"/>
                <w:numId w:val="3"/>
              </w:numPr>
              <w:ind w:left="334"/>
              <w:rPr>
                <w:color w:val="auto"/>
                <w:sz w:val="22"/>
                <w:szCs w:val="22"/>
              </w:rPr>
            </w:pPr>
          </w:p>
        </w:tc>
      </w:tr>
      <w:tr w:rsidR="00BC7A86" w:rsidRPr="002B19EE" w:rsidTr="006B19C0">
        <w:tc>
          <w:tcPr>
            <w:tcW w:w="2731" w:type="dxa"/>
          </w:tcPr>
          <w:p w:rsidR="00BC7A86" w:rsidRPr="002B19EE" w:rsidRDefault="00BC7A86" w:rsidP="006B19C0">
            <w:pPr>
              <w:pStyle w:val="Default"/>
              <w:rPr>
                <w:b/>
                <w:bCs/>
                <w:sz w:val="22"/>
                <w:szCs w:val="22"/>
              </w:rPr>
            </w:pPr>
          </w:p>
        </w:tc>
        <w:tc>
          <w:tcPr>
            <w:tcW w:w="1759" w:type="dxa"/>
          </w:tcPr>
          <w:p w:rsidR="00BC7A86" w:rsidRPr="002B19EE" w:rsidRDefault="00D9481F" w:rsidP="006B19C0">
            <w:pPr>
              <w:autoSpaceDE w:val="0"/>
              <w:autoSpaceDN w:val="0"/>
              <w:adjustRightInd w:val="0"/>
              <w:spacing w:before="0" w:after="80"/>
              <w:rPr>
                <w:bCs/>
              </w:rPr>
            </w:pPr>
            <w:r w:rsidRPr="002B19EE">
              <w:rPr>
                <w:bCs/>
              </w:rPr>
              <w:t>3</w:t>
            </w:r>
          </w:p>
        </w:tc>
        <w:tc>
          <w:tcPr>
            <w:tcW w:w="2547" w:type="dxa"/>
          </w:tcPr>
          <w:p w:rsidR="00BC7A86" w:rsidRPr="002B19EE" w:rsidRDefault="008B7C67" w:rsidP="00C57259">
            <w:r w:rsidRPr="002B19EE">
              <w:rPr>
                <w:color w:val="000000"/>
              </w:rPr>
              <w:t xml:space="preserve">Syria including the Baathist Movement, the </w:t>
            </w:r>
            <w:proofErr w:type="spellStart"/>
            <w:r w:rsidRPr="002B19EE">
              <w:rPr>
                <w:color w:val="000000"/>
              </w:rPr>
              <w:t>Assads</w:t>
            </w:r>
            <w:proofErr w:type="spellEnd"/>
            <w:r w:rsidRPr="002B19EE">
              <w:rPr>
                <w:color w:val="000000"/>
              </w:rPr>
              <w:t xml:space="preserve"> and risings to 2011; Iraq from Faisal to Saddam Hussein and </w:t>
            </w:r>
            <w:r w:rsidR="00857EB1" w:rsidRPr="002B19EE">
              <w:rPr>
                <w:color w:val="000000"/>
              </w:rPr>
              <w:t>Iran</w:t>
            </w:r>
            <w:r w:rsidRPr="002B19EE">
              <w:rPr>
                <w:color w:val="000000"/>
              </w:rPr>
              <w:t xml:space="preserve"> from Shah (1925) to Ayatollahs</w:t>
            </w:r>
            <w:r w:rsidR="00BC7A86" w:rsidRPr="002B19EE">
              <w:rPr>
                <w:color w:val="000000"/>
              </w:rPr>
              <w:t xml:space="preserve"> </w:t>
            </w:r>
          </w:p>
        </w:tc>
        <w:tc>
          <w:tcPr>
            <w:tcW w:w="4119" w:type="dxa"/>
          </w:tcPr>
          <w:p w:rsidR="007E3C45" w:rsidRPr="002B19EE" w:rsidRDefault="007C5750" w:rsidP="00111991">
            <w:pPr>
              <w:pStyle w:val="Default"/>
              <w:numPr>
                <w:ilvl w:val="0"/>
                <w:numId w:val="3"/>
              </w:numPr>
              <w:ind w:left="334"/>
              <w:rPr>
                <w:color w:val="auto"/>
                <w:sz w:val="22"/>
                <w:szCs w:val="22"/>
              </w:rPr>
            </w:pPr>
            <w:r w:rsidRPr="002B19EE">
              <w:rPr>
                <w:color w:val="auto"/>
                <w:sz w:val="22"/>
                <w:szCs w:val="22"/>
              </w:rPr>
              <w:t xml:space="preserve">Impact of </w:t>
            </w:r>
            <w:proofErr w:type="spellStart"/>
            <w:r w:rsidRPr="002B19EE">
              <w:rPr>
                <w:color w:val="auto"/>
                <w:sz w:val="22"/>
                <w:szCs w:val="22"/>
              </w:rPr>
              <w:t>Baathism</w:t>
            </w:r>
            <w:proofErr w:type="spellEnd"/>
            <w:r w:rsidRPr="002B19EE">
              <w:rPr>
                <w:color w:val="auto"/>
                <w:sz w:val="22"/>
                <w:szCs w:val="22"/>
              </w:rPr>
              <w:t xml:space="preserve"> on Syria and Iraq</w:t>
            </w:r>
          </w:p>
          <w:p w:rsidR="007C5750" w:rsidRPr="002B19EE" w:rsidRDefault="007C5750" w:rsidP="00111991">
            <w:pPr>
              <w:pStyle w:val="Default"/>
              <w:numPr>
                <w:ilvl w:val="0"/>
                <w:numId w:val="3"/>
              </w:numPr>
              <w:ind w:left="334"/>
              <w:rPr>
                <w:color w:val="auto"/>
                <w:sz w:val="22"/>
                <w:szCs w:val="22"/>
              </w:rPr>
            </w:pPr>
            <w:r w:rsidRPr="002B19EE">
              <w:rPr>
                <w:color w:val="auto"/>
                <w:sz w:val="22"/>
                <w:szCs w:val="22"/>
              </w:rPr>
              <w:t>Extent of similarity and/or difference with other states e.g. Turkey, Jordan, Saudi Arabia</w:t>
            </w:r>
          </w:p>
        </w:tc>
        <w:tc>
          <w:tcPr>
            <w:tcW w:w="3704" w:type="dxa"/>
            <w:vMerge/>
          </w:tcPr>
          <w:p w:rsidR="00BC7A86" w:rsidRPr="002B19EE" w:rsidRDefault="00BC7A86" w:rsidP="002A698A">
            <w:pPr>
              <w:pStyle w:val="Default"/>
              <w:numPr>
                <w:ilvl w:val="0"/>
                <w:numId w:val="3"/>
              </w:numPr>
              <w:ind w:left="334"/>
              <w:rPr>
                <w:color w:val="auto"/>
                <w:sz w:val="22"/>
                <w:szCs w:val="22"/>
              </w:rPr>
            </w:pPr>
          </w:p>
        </w:tc>
      </w:tr>
      <w:tr w:rsidR="0024481A" w:rsidRPr="002B19EE" w:rsidTr="006B19C0">
        <w:tc>
          <w:tcPr>
            <w:tcW w:w="2731" w:type="dxa"/>
            <w:vMerge w:val="restart"/>
          </w:tcPr>
          <w:p w:rsidR="0024481A" w:rsidRPr="002B19EE" w:rsidRDefault="008B7C67" w:rsidP="006B19C0">
            <w:pPr>
              <w:pStyle w:val="Default"/>
              <w:rPr>
                <w:b/>
                <w:bCs/>
                <w:sz w:val="22"/>
                <w:szCs w:val="22"/>
              </w:rPr>
            </w:pPr>
            <w:r w:rsidRPr="002B19EE">
              <w:rPr>
                <w:b/>
                <w:bCs/>
                <w:sz w:val="22"/>
                <w:szCs w:val="22"/>
              </w:rPr>
              <w:t>Religion, ethnicity and political minorities</w:t>
            </w:r>
          </w:p>
        </w:tc>
        <w:tc>
          <w:tcPr>
            <w:tcW w:w="1759" w:type="dxa"/>
          </w:tcPr>
          <w:p w:rsidR="0024481A" w:rsidRPr="002B19EE" w:rsidRDefault="00D9481F" w:rsidP="006B19C0">
            <w:pPr>
              <w:autoSpaceDE w:val="0"/>
              <w:autoSpaceDN w:val="0"/>
              <w:adjustRightInd w:val="0"/>
              <w:spacing w:before="0" w:after="80"/>
              <w:rPr>
                <w:bCs/>
              </w:rPr>
            </w:pPr>
            <w:r w:rsidRPr="002B19EE">
              <w:rPr>
                <w:bCs/>
              </w:rPr>
              <w:t>2</w:t>
            </w:r>
          </w:p>
        </w:tc>
        <w:tc>
          <w:tcPr>
            <w:tcW w:w="2547" w:type="dxa"/>
          </w:tcPr>
          <w:p w:rsidR="0024481A" w:rsidRPr="002B19EE" w:rsidRDefault="009D4218" w:rsidP="009D4218">
            <w:pPr>
              <w:pStyle w:val="Pa19"/>
              <w:spacing w:after="80"/>
              <w:rPr>
                <w:rFonts w:ascii="Arial" w:hAnsi="Arial" w:cs="Arial"/>
                <w:color w:val="000000"/>
                <w:sz w:val="22"/>
                <w:szCs w:val="22"/>
              </w:rPr>
            </w:pPr>
            <w:r w:rsidRPr="002B19EE">
              <w:rPr>
                <w:rFonts w:ascii="Arial" w:hAnsi="Arial" w:cs="Arial"/>
                <w:color w:val="000000"/>
                <w:sz w:val="22"/>
                <w:szCs w:val="22"/>
              </w:rPr>
              <w:t>Sunni</w:t>
            </w:r>
            <w:r w:rsidR="008B7C67" w:rsidRPr="002B19EE">
              <w:rPr>
                <w:rFonts w:ascii="Arial" w:hAnsi="Arial" w:cs="Arial"/>
                <w:color w:val="000000"/>
                <w:sz w:val="22"/>
                <w:szCs w:val="22"/>
              </w:rPr>
              <w:t xml:space="preserve"> and Shia in the Arab States; Egypt and the Muslim Brotherhood from 1920</w:t>
            </w:r>
            <w:r w:rsidRPr="002B19EE">
              <w:rPr>
                <w:rFonts w:ascii="Arial" w:hAnsi="Arial" w:cs="Arial"/>
                <w:color w:val="000000"/>
                <w:sz w:val="22"/>
                <w:szCs w:val="22"/>
              </w:rPr>
              <w:t xml:space="preserve">; </w:t>
            </w:r>
            <w:r w:rsidRPr="002B19EE">
              <w:rPr>
                <w:rFonts w:ascii="Arial" w:hAnsi="Arial" w:cs="Arial"/>
                <w:color w:val="000000"/>
                <w:sz w:val="22"/>
                <w:szCs w:val="22"/>
              </w:rPr>
              <w:lastRenderedPageBreak/>
              <w:t xml:space="preserve">Iran and the Islamic Revolution; </w:t>
            </w:r>
          </w:p>
        </w:tc>
        <w:tc>
          <w:tcPr>
            <w:tcW w:w="4119" w:type="dxa"/>
          </w:tcPr>
          <w:p w:rsidR="0024481A" w:rsidRPr="002B19EE" w:rsidRDefault="00A003CE" w:rsidP="00663693">
            <w:pPr>
              <w:pStyle w:val="Default"/>
              <w:numPr>
                <w:ilvl w:val="0"/>
                <w:numId w:val="3"/>
              </w:numPr>
              <w:ind w:left="334"/>
              <w:rPr>
                <w:color w:val="auto"/>
                <w:sz w:val="22"/>
                <w:szCs w:val="22"/>
              </w:rPr>
            </w:pPr>
            <w:r w:rsidRPr="002B19EE">
              <w:rPr>
                <w:color w:val="auto"/>
                <w:sz w:val="22"/>
                <w:szCs w:val="22"/>
              </w:rPr>
              <w:lastRenderedPageBreak/>
              <w:t>How Sunni and Shia communities developed and interacted across the period</w:t>
            </w:r>
          </w:p>
          <w:p w:rsidR="00A003CE" w:rsidRPr="002B19EE" w:rsidRDefault="00A003CE" w:rsidP="00A003CE">
            <w:pPr>
              <w:pStyle w:val="Default"/>
              <w:numPr>
                <w:ilvl w:val="0"/>
                <w:numId w:val="3"/>
              </w:numPr>
              <w:ind w:left="334"/>
              <w:rPr>
                <w:color w:val="auto"/>
                <w:sz w:val="22"/>
                <w:szCs w:val="22"/>
              </w:rPr>
            </w:pPr>
            <w:r w:rsidRPr="002B19EE">
              <w:rPr>
                <w:color w:val="auto"/>
                <w:sz w:val="22"/>
                <w:szCs w:val="22"/>
              </w:rPr>
              <w:t xml:space="preserve">Impact of the </w:t>
            </w:r>
            <w:r w:rsidR="004F08D7" w:rsidRPr="002B19EE">
              <w:rPr>
                <w:color w:val="auto"/>
                <w:sz w:val="22"/>
                <w:szCs w:val="22"/>
              </w:rPr>
              <w:t>Muslim</w:t>
            </w:r>
            <w:r w:rsidRPr="002B19EE">
              <w:rPr>
                <w:color w:val="auto"/>
                <w:sz w:val="22"/>
                <w:szCs w:val="22"/>
              </w:rPr>
              <w:t xml:space="preserve"> </w:t>
            </w:r>
            <w:r w:rsidR="00857EB1" w:rsidRPr="002B19EE">
              <w:rPr>
                <w:color w:val="auto"/>
                <w:sz w:val="22"/>
                <w:szCs w:val="22"/>
              </w:rPr>
              <w:t>Brotherhood</w:t>
            </w:r>
            <w:r w:rsidRPr="002B19EE">
              <w:rPr>
                <w:color w:val="auto"/>
                <w:sz w:val="22"/>
                <w:szCs w:val="22"/>
              </w:rPr>
              <w:t xml:space="preserve"> </w:t>
            </w:r>
            <w:r w:rsidRPr="002B19EE">
              <w:rPr>
                <w:color w:val="auto"/>
                <w:sz w:val="22"/>
                <w:szCs w:val="22"/>
              </w:rPr>
              <w:lastRenderedPageBreak/>
              <w:t>on government and society</w:t>
            </w:r>
          </w:p>
          <w:p w:rsidR="00A003CE" w:rsidRPr="002B19EE" w:rsidRDefault="00A003CE" w:rsidP="00A003CE">
            <w:pPr>
              <w:pStyle w:val="Default"/>
              <w:numPr>
                <w:ilvl w:val="0"/>
                <w:numId w:val="3"/>
              </w:numPr>
              <w:ind w:left="334"/>
              <w:rPr>
                <w:color w:val="auto"/>
                <w:sz w:val="22"/>
                <w:szCs w:val="22"/>
              </w:rPr>
            </w:pPr>
            <w:r w:rsidRPr="002B19EE">
              <w:rPr>
                <w:color w:val="auto"/>
                <w:sz w:val="22"/>
                <w:szCs w:val="22"/>
              </w:rPr>
              <w:t xml:space="preserve">Reasons for the </w:t>
            </w:r>
            <w:r w:rsidR="004F08D7" w:rsidRPr="002B19EE">
              <w:rPr>
                <w:color w:val="auto"/>
                <w:sz w:val="22"/>
                <w:szCs w:val="22"/>
              </w:rPr>
              <w:t>revolution</w:t>
            </w:r>
            <w:r w:rsidRPr="002B19EE">
              <w:rPr>
                <w:color w:val="auto"/>
                <w:sz w:val="22"/>
                <w:szCs w:val="22"/>
              </w:rPr>
              <w:t xml:space="preserve"> in Iran and its impact on the Middle East</w:t>
            </w:r>
          </w:p>
        </w:tc>
        <w:tc>
          <w:tcPr>
            <w:tcW w:w="3704" w:type="dxa"/>
            <w:vMerge w:val="restart"/>
          </w:tcPr>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lastRenderedPageBreak/>
              <w:t xml:space="preserve">Access to History: The Middle East 1908-2011 </w:t>
            </w:r>
            <w:r w:rsidR="00842881" w:rsidRPr="002B19EE">
              <w:rPr>
                <w:color w:val="auto"/>
                <w:sz w:val="22"/>
                <w:szCs w:val="22"/>
              </w:rPr>
              <w:t>(second edition), Michael Scott-Baumann (Hodder)</w:t>
            </w:r>
            <w:r w:rsidR="00D117EB" w:rsidRPr="002B19EE">
              <w:rPr>
                <w:color w:val="auto"/>
                <w:sz w:val="22"/>
                <w:szCs w:val="22"/>
              </w:rPr>
              <w:t xml:space="preserve"> </w:t>
            </w:r>
            <w:r w:rsidR="00D117EB" w:rsidRPr="002B19EE">
              <w:rPr>
                <w:i/>
                <w:color w:val="auto"/>
                <w:sz w:val="22"/>
                <w:szCs w:val="22"/>
              </w:rPr>
              <w:t xml:space="preserve">also </w:t>
            </w:r>
            <w:r w:rsidR="00D117EB" w:rsidRPr="002B19EE">
              <w:rPr>
                <w:i/>
                <w:color w:val="auto"/>
                <w:sz w:val="22"/>
                <w:szCs w:val="22"/>
              </w:rPr>
              <w:lastRenderedPageBreak/>
              <w:t>contains an excellent bibliography</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The Arab-Israeli Conflict (Seminar Studies in History), </w:t>
            </w:r>
            <w:proofErr w:type="spellStart"/>
            <w:r w:rsidR="00842881" w:rsidRPr="002B19EE">
              <w:rPr>
                <w:color w:val="auto"/>
                <w:sz w:val="22"/>
                <w:szCs w:val="22"/>
              </w:rPr>
              <w:t>Kisrten</w:t>
            </w:r>
            <w:proofErr w:type="spellEnd"/>
            <w:r w:rsidR="00842881" w:rsidRPr="002B19EE">
              <w:rPr>
                <w:color w:val="auto"/>
                <w:sz w:val="22"/>
                <w:szCs w:val="22"/>
              </w:rPr>
              <w:t xml:space="preserve"> E. Schulze</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A History of the Middle East (4th edition), </w:t>
            </w:r>
            <w:r w:rsidR="00842881" w:rsidRPr="002B19EE">
              <w:rPr>
                <w:color w:val="auto"/>
                <w:sz w:val="22"/>
                <w:szCs w:val="22"/>
              </w:rPr>
              <w:t>Peter Mansfield</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The Palestinian-Israeli Conflict: A Very Short Introduction</w:t>
            </w:r>
            <w:r w:rsidR="00842881" w:rsidRPr="002B19EE">
              <w:rPr>
                <w:color w:val="auto"/>
                <w:sz w:val="22"/>
                <w:szCs w:val="22"/>
              </w:rPr>
              <w:t>, Martin Bunton</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A Line in the Sand: Britain, France and the Struggle for Master of the Middle East</w:t>
            </w:r>
            <w:r w:rsidR="00842881" w:rsidRPr="002B19EE">
              <w:rPr>
                <w:color w:val="auto"/>
                <w:sz w:val="22"/>
                <w:szCs w:val="22"/>
              </w:rPr>
              <w:t>, James Barr</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Cursed Victory: A History of Israeli and the Occupied Territories</w:t>
            </w:r>
            <w:r w:rsidR="00842881" w:rsidRPr="002B19EE">
              <w:rPr>
                <w:color w:val="auto"/>
                <w:sz w:val="22"/>
                <w:szCs w:val="22"/>
              </w:rPr>
              <w:t xml:space="preserve">, </w:t>
            </w:r>
            <w:proofErr w:type="spellStart"/>
            <w:r w:rsidR="00842881" w:rsidRPr="002B19EE">
              <w:rPr>
                <w:color w:val="auto"/>
                <w:sz w:val="22"/>
                <w:szCs w:val="22"/>
              </w:rPr>
              <w:t>Ahron</w:t>
            </w:r>
            <w:proofErr w:type="spellEnd"/>
            <w:r w:rsidR="00842881" w:rsidRPr="002B19EE">
              <w:rPr>
                <w:color w:val="auto"/>
                <w:sz w:val="22"/>
                <w:szCs w:val="22"/>
              </w:rPr>
              <w:t xml:space="preserve"> </w:t>
            </w:r>
            <w:proofErr w:type="spellStart"/>
            <w:r w:rsidR="00842881" w:rsidRPr="002B19EE">
              <w:rPr>
                <w:color w:val="auto"/>
                <w:sz w:val="22"/>
                <w:szCs w:val="22"/>
              </w:rPr>
              <w:t>Bregman</w:t>
            </w:r>
            <w:proofErr w:type="spellEnd"/>
          </w:p>
          <w:p w:rsidR="00BC7A86" w:rsidRPr="002B19EE" w:rsidRDefault="00F676C2" w:rsidP="00842881">
            <w:pPr>
              <w:pStyle w:val="Default"/>
              <w:numPr>
                <w:ilvl w:val="0"/>
                <w:numId w:val="3"/>
              </w:numPr>
              <w:ind w:left="334"/>
              <w:rPr>
                <w:color w:val="auto"/>
                <w:sz w:val="22"/>
                <w:szCs w:val="22"/>
              </w:rPr>
            </w:pPr>
            <w:r w:rsidRPr="002B19EE">
              <w:rPr>
                <w:i/>
                <w:color w:val="auto"/>
                <w:sz w:val="22"/>
                <w:szCs w:val="22"/>
              </w:rPr>
              <w:t>The Arabs: A History – Second Edition</w:t>
            </w:r>
            <w:r w:rsidR="00842881" w:rsidRPr="002B19EE">
              <w:rPr>
                <w:color w:val="auto"/>
                <w:sz w:val="22"/>
                <w:szCs w:val="22"/>
              </w:rPr>
              <w:t>, Eugene Rogan</w:t>
            </w:r>
          </w:p>
        </w:tc>
      </w:tr>
      <w:tr w:rsidR="0024481A" w:rsidRPr="002B19EE" w:rsidTr="006B19C0">
        <w:tc>
          <w:tcPr>
            <w:tcW w:w="2731" w:type="dxa"/>
            <w:vMerge/>
          </w:tcPr>
          <w:p w:rsidR="0024481A" w:rsidRPr="002B19EE" w:rsidRDefault="0024481A" w:rsidP="006B19C0">
            <w:pPr>
              <w:pStyle w:val="Default"/>
              <w:rPr>
                <w:b/>
                <w:bCs/>
                <w:sz w:val="22"/>
                <w:szCs w:val="22"/>
              </w:rPr>
            </w:pPr>
          </w:p>
        </w:tc>
        <w:tc>
          <w:tcPr>
            <w:tcW w:w="1759" w:type="dxa"/>
          </w:tcPr>
          <w:p w:rsidR="0024481A" w:rsidRPr="002B19EE" w:rsidRDefault="00D9481F" w:rsidP="006B19C0">
            <w:pPr>
              <w:autoSpaceDE w:val="0"/>
              <w:autoSpaceDN w:val="0"/>
              <w:adjustRightInd w:val="0"/>
              <w:spacing w:before="0" w:after="80"/>
              <w:rPr>
                <w:bCs/>
              </w:rPr>
            </w:pPr>
            <w:r w:rsidRPr="002B19EE">
              <w:rPr>
                <w:bCs/>
              </w:rPr>
              <w:t>2</w:t>
            </w:r>
          </w:p>
        </w:tc>
        <w:tc>
          <w:tcPr>
            <w:tcW w:w="2547" w:type="dxa"/>
          </w:tcPr>
          <w:p w:rsidR="0024481A" w:rsidRPr="002B19EE" w:rsidRDefault="009D4218" w:rsidP="00652319">
            <w:pPr>
              <w:pStyle w:val="Default"/>
              <w:rPr>
                <w:sz w:val="22"/>
                <w:szCs w:val="22"/>
              </w:rPr>
            </w:pPr>
            <w:r w:rsidRPr="002B19EE">
              <w:rPr>
                <w:sz w:val="22"/>
                <w:szCs w:val="22"/>
              </w:rPr>
              <w:t>Hezbollah and Hamas; Al Qaeda;</w:t>
            </w:r>
          </w:p>
        </w:tc>
        <w:tc>
          <w:tcPr>
            <w:tcW w:w="4119" w:type="dxa"/>
          </w:tcPr>
          <w:p w:rsidR="001A31B7" w:rsidRPr="002B19EE" w:rsidRDefault="00742892" w:rsidP="00020A7C">
            <w:pPr>
              <w:pStyle w:val="Default"/>
              <w:numPr>
                <w:ilvl w:val="0"/>
                <w:numId w:val="3"/>
              </w:numPr>
              <w:ind w:left="334"/>
              <w:rPr>
                <w:color w:val="auto"/>
                <w:sz w:val="22"/>
                <w:szCs w:val="22"/>
              </w:rPr>
            </w:pPr>
            <w:r w:rsidRPr="002B19EE">
              <w:rPr>
                <w:color w:val="auto"/>
                <w:sz w:val="22"/>
                <w:szCs w:val="22"/>
              </w:rPr>
              <w:t>Reasons for establishment of each organisation</w:t>
            </w:r>
          </w:p>
          <w:p w:rsidR="00742892" w:rsidRPr="002B19EE" w:rsidRDefault="00742892" w:rsidP="00020A7C">
            <w:pPr>
              <w:pStyle w:val="Default"/>
              <w:numPr>
                <w:ilvl w:val="0"/>
                <w:numId w:val="3"/>
              </w:numPr>
              <w:ind w:left="334"/>
              <w:rPr>
                <w:color w:val="auto"/>
                <w:sz w:val="22"/>
                <w:szCs w:val="22"/>
              </w:rPr>
            </w:pPr>
            <w:r w:rsidRPr="002B19EE">
              <w:rPr>
                <w:color w:val="auto"/>
                <w:sz w:val="22"/>
                <w:szCs w:val="22"/>
              </w:rPr>
              <w:t>Key beliefs and actions</w:t>
            </w:r>
          </w:p>
          <w:p w:rsidR="00742892" w:rsidRPr="002B19EE" w:rsidRDefault="00742892" w:rsidP="00020A7C">
            <w:pPr>
              <w:pStyle w:val="Default"/>
              <w:numPr>
                <w:ilvl w:val="0"/>
                <w:numId w:val="3"/>
              </w:numPr>
              <w:ind w:left="334"/>
              <w:rPr>
                <w:color w:val="auto"/>
                <w:sz w:val="22"/>
                <w:szCs w:val="22"/>
              </w:rPr>
            </w:pPr>
            <w:r w:rsidRPr="002B19EE">
              <w:rPr>
                <w:color w:val="auto"/>
                <w:sz w:val="22"/>
                <w:szCs w:val="22"/>
              </w:rPr>
              <w:t>Impact on the Middle East in general</w:t>
            </w:r>
          </w:p>
        </w:tc>
        <w:tc>
          <w:tcPr>
            <w:tcW w:w="3704" w:type="dxa"/>
            <w:vMerge/>
          </w:tcPr>
          <w:p w:rsidR="0024481A" w:rsidRPr="002B19EE" w:rsidRDefault="0024481A" w:rsidP="002A698A">
            <w:pPr>
              <w:pStyle w:val="Default"/>
              <w:numPr>
                <w:ilvl w:val="0"/>
                <w:numId w:val="3"/>
              </w:numPr>
              <w:ind w:left="334"/>
              <w:rPr>
                <w:color w:val="auto"/>
                <w:sz w:val="22"/>
                <w:szCs w:val="22"/>
              </w:rPr>
            </w:pPr>
          </w:p>
        </w:tc>
      </w:tr>
      <w:tr w:rsidR="0024481A" w:rsidRPr="002B19EE" w:rsidTr="006B19C0">
        <w:tc>
          <w:tcPr>
            <w:tcW w:w="2731" w:type="dxa"/>
            <w:vMerge/>
          </w:tcPr>
          <w:p w:rsidR="0024481A" w:rsidRPr="002B19EE" w:rsidRDefault="0024481A" w:rsidP="006B19C0">
            <w:pPr>
              <w:pStyle w:val="Default"/>
              <w:rPr>
                <w:b/>
                <w:bCs/>
                <w:sz w:val="22"/>
                <w:szCs w:val="22"/>
              </w:rPr>
            </w:pPr>
          </w:p>
        </w:tc>
        <w:tc>
          <w:tcPr>
            <w:tcW w:w="1759" w:type="dxa"/>
          </w:tcPr>
          <w:p w:rsidR="0024481A" w:rsidRPr="002B19EE" w:rsidRDefault="003553CB" w:rsidP="006B19C0">
            <w:pPr>
              <w:autoSpaceDE w:val="0"/>
              <w:autoSpaceDN w:val="0"/>
              <w:adjustRightInd w:val="0"/>
              <w:spacing w:before="0" w:after="80"/>
              <w:rPr>
                <w:bCs/>
              </w:rPr>
            </w:pPr>
            <w:r w:rsidRPr="002B19EE">
              <w:rPr>
                <w:bCs/>
              </w:rPr>
              <w:t>2</w:t>
            </w:r>
          </w:p>
        </w:tc>
        <w:tc>
          <w:tcPr>
            <w:tcW w:w="2547" w:type="dxa"/>
          </w:tcPr>
          <w:p w:rsidR="0024481A" w:rsidRPr="002B19EE" w:rsidRDefault="009D4218" w:rsidP="00652319">
            <w:pPr>
              <w:pStyle w:val="Default"/>
              <w:rPr>
                <w:sz w:val="22"/>
                <w:szCs w:val="22"/>
              </w:rPr>
            </w:pPr>
            <w:r w:rsidRPr="002B19EE">
              <w:rPr>
                <w:sz w:val="22"/>
                <w:szCs w:val="22"/>
              </w:rPr>
              <w:t>Christian communities especially in the Lebanon, the Armenians and the Copts; Jewish communities and their attitudes to Israel;</w:t>
            </w:r>
          </w:p>
        </w:tc>
        <w:tc>
          <w:tcPr>
            <w:tcW w:w="4119" w:type="dxa"/>
          </w:tcPr>
          <w:p w:rsidR="00020A7C" w:rsidRPr="002B19EE" w:rsidRDefault="00742892" w:rsidP="00020A7C">
            <w:pPr>
              <w:pStyle w:val="Default"/>
              <w:numPr>
                <w:ilvl w:val="0"/>
                <w:numId w:val="3"/>
              </w:numPr>
              <w:ind w:left="334"/>
              <w:rPr>
                <w:color w:val="auto"/>
                <w:sz w:val="22"/>
                <w:szCs w:val="22"/>
              </w:rPr>
            </w:pPr>
            <w:r w:rsidRPr="002B19EE">
              <w:rPr>
                <w:color w:val="auto"/>
                <w:sz w:val="22"/>
                <w:szCs w:val="22"/>
              </w:rPr>
              <w:t>How Christian communities were treated and treated others</w:t>
            </w:r>
          </w:p>
          <w:p w:rsidR="00663693" w:rsidRPr="002B19EE" w:rsidRDefault="00742892" w:rsidP="00111991">
            <w:pPr>
              <w:pStyle w:val="Default"/>
              <w:numPr>
                <w:ilvl w:val="0"/>
                <w:numId w:val="3"/>
              </w:numPr>
              <w:ind w:left="334"/>
              <w:rPr>
                <w:color w:val="auto"/>
                <w:sz w:val="22"/>
                <w:szCs w:val="22"/>
              </w:rPr>
            </w:pPr>
            <w:r w:rsidRPr="002B19EE">
              <w:rPr>
                <w:color w:val="auto"/>
                <w:sz w:val="22"/>
                <w:szCs w:val="22"/>
              </w:rPr>
              <w:t>How Jewish communities were treated and how attitudes to Israeli changed over time</w:t>
            </w:r>
          </w:p>
        </w:tc>
        <w:tc>
          <w:tcPr>
            <w:tcW w:w="3704" w:type="dxa"/>
            <w:vMerge/>
          </w:tcPr>
          <w:p w:rsidR="0024481A" w:rsidRPr="002B19EE" w:rsidRDefault="0024481A" w:rsidP="002A698A">
            <w:pPr>
              <w:pStyle w:val="Default"/>
              <w:numPr>
                <w:ilvl w:val="0"/>
                <w:numId w:val="3"/>
              </w:numPr>
              <w:ind w:left="334"/>
              <w:rPr>
                <w:color w:val="auto"/>
                <w:sz w:val="22"/>
                <w:szCs w:val="22"/>
              </w:rPr>
            </w:pPr>
          </w:p>
        </w:tc>
      </w:tr>
      <w:tr w:rsidR="0024481A" w:rsidRPr="002B19EE" w:rsidTr="006B19C0">
        <w:tc>
          <w:tcPr>
            <w:tcW w:w="2731" w:type="dxa"/>
            <w:vMerge/>
          </w:tcPr>
          <w:p w:rsidR="0024481A" w:rsidRPr="002B19EE" w:rsidRDefault="0024481A" w:rsidP="006B19C0">
            <w:pPr>
              <w:pStyle w:val="Default"/>
              <w:rPr>
                <w:b/>
                <w:bCs/>
                <w:sz w:val="22"/>
                <w:szCs w:val="22"/>
              </w:rPr>
            </w:pPr>
          </w:p>
        </w:tc>
        <w:tc>
          <w:tcPr>
            <w:tcW w:w="1759" w:type="dxa"/>
          </w:tcPr>
          <w:p w:rsidR="0024481A" w:rsidRPr="002B19EE" w:rsidRDefault="003553CB" w:rsidP="006B19C0">
            <w:pPr>
              <w:autoSpaceDE w:val="0"/>
              <w:autoSpaceDN w:val="0"/>
              <w:adjustRightInd w:val="0"/>
              <w:spacing w:before="0" w:after="80"/>
              <w:rPr>
                <w:bCs/>
              </w:rPr>
            </w:pPr>
            <w:r w:rsidRPr="002B19EE">
              <w:rPr>
                <w:bCs/>
              </w:rPr>
              <w:t>2</w:t>
            </w:r>
          </w:p>
        </w:tc>
        <w:tc>
          <w:tcPr>
            <w:tcW w:w="2547" w:type="dxa"/>
          </w:tcPr>
          <w:p w:rsidR="0024481A" w:rsidRPr="002B19EE" w:rsidRDefault="009D4218" w:rsidP="00C57259">
            <w:pPr>
              <w:pStyle w:val="Pa19"/>
              <w:spacing w:after="80"/>
              <w:rPr>
                <w:rFonts w:ascii="Arial" w:hAnsi="Arial" w:cs="Arial"/>
                <w:color w:val="000000"/>
                <w:sz w:val="22"/>
                <w:szCs w:val="22"/>
              </w:rPr>
            </w:pPr>
            <w:r w:rsidRPr="002B19EE">
              <w:rPr>
                <w:rFonts w:ascii="Arial" w:hAnsi="Arial" w:cs="Arial"/>
                <w:color w:val="000000"/>
                <w:sz w:val="22"/>
                <w:szCs w:val="22"/>
              </w:rPr>
              <w:t xml:space="preserve">ethnic groups and minorities including Kurds, Armenians, Jews, </w:t>
            </w:r>
            <w:r w:rsidR="00742892" w:rsidRPr="002B19EE">
              <w:rPr>
                <w:rFonts w:ascii="Arial" w:hAnsi="Arial" w:cs="Arial"/>
                <w:color w:val="000000"/>
                <w:sz w:val="22"/>
                <w:szCs w:val="22"/>
              </w:rPr>
              <w:t>Palestinians</w:t>
            </w:r>
            <w:r w:rsidRPr="002B19EE">
              <w:rPr>
                <w:rFonts w:ascii="Arial" w:hAnsi="Arial" w:cs="Arial"/>
                <w:color w:val="000000"/>
                <w:sz w:val="22"/>
                <w:szCs w:val="22"/>
              </w:rPr>
              <w:t>; the role and influence of the Middle Eastern diaspora</w:t>
            </w:r>
          </w:p>
        </w:tc>
        <w:tc>
          <w:tcPr>
            <w:tcW w:w="4119" w:type="dxa"/>
          </w:tcPr>
          <w:p w:rsidR="00C726AB" w:rsidRPr="002B19EE" w:rsidRDefault="00C726AB" w:rsidP="00111991">
            <w:pPr>
              <w:pStyle w:val="Default"/>
              <w:numPr>
                <w:ilvl w:val="0"/>
                <w:numId w:val="3"/>
              </w:numPr>
              <w:ind w:left="334"/>
              <w:rPr>
                <w:color w:val="auto"/>
                <w:sz w:val="22"/>
                <w:szCs w:val="22"/>
              </w:rPr>
            </w:pPr>
            <w:r w:rsidRPr="002B19EE">
              <w:rPr>
                <w:color w:val="auto"/>
                <w:sz w:val="22"/>
                <w:szCs w:val="22"/>
              </w:rPr>
              <w:t xml:space="preserve"> </w:t>
            </w:r>
            <w:r w:rsidR="00742892" w:rsidRPr="002B19EE">
              <w:rPr>
                <w:color w:val="auto"/>
                <w:sz w:val="22"/>
                <w:szCs w:val="22"/>
              </w:rPr>
              <w:t xml:space="preserve">Role of </w:t>
            </w:r>
            <w:r w:rsidR="008B3FE9" w:rsidRPr="002B19EE">
              <w:rPr>
                <w:color w:val="auto"/>
                <w:sz w:val="22"/>
                <w:szCs w:val="22"/>
              </w:rPr>
              <w:t>ethnicity</w:t>
            </w:r>
            <w:r w:rsidR="00742892" w:rsidRPr="002B19EE">
              <w:rPr>
                <w:color w:val="auto"/>
                <w:sz w:val="22"/>
                <w:szCs w:val="22"/>
              </w:rPr>
              <w:t xml:space="preserve"> in the middle east</w:t>
            </w:r>
          </w:p>
          <w:p w:rsidR="00742892" w:rsidRPr="002B19EE" w:rsidRDefault="00742892" w:rsidP="00111991">
            <w:pPr>
              <w:pStyle w:val="Default"/>
              <w:numPr>
                <w:ilvl w:val="0"/>
                <w:numId w:val="3"/>
              </w:numPr>
              <w:ind w:left="334"/>
              <w:rPr>
                <w:color w:val="auto"/>
                <w:sz w:val="22"/>
                <w:szCs w:val="22"/>
              </w:rPr>
            </w:pPr>
            <w:r w:rsidRPr="002B19EE">
              <w:rPr>
                <w:color w:val="auto"/>
                <w:sz w:val="22"/>
                <w:szCs w:val="22"/>
              </w:rPr>
              <w:t>Persecution, discrimination  and tolerance</w:t>
            </w:r>
          </w:p>
          <w:p w:rsidR="00742892" w:rsidRPr="002B19EE" w:rsidRDefault="00742892" w:rsidP="00111991">
            <w:pPr>
              <w:pStyle w:val="Default"/>
              <w:numPr>
                <w:ilvl w:val="0"/>
                <w:numId w:val="3"/>
              </w:numPr>
              <w:ind w:left="334"/>
              <w:rPr>
                <w:color w:val="auto"/>
                <w:sz w:val="22"/>
                <w:szCs w:val="22"/>
              </w:rPr>
            </w:pPr>
            <w:r w:rsidRPr="002B19EE">
              <w:rPr>
                <w:color w:val="auto"/>
                <w:sz w:val="22"/>
                <w:szCs w:val="22"/>
              </w:rPr>
              <w:t>Role of specific groups in Middle East conflict e.g. Kurds and the PKK</w:t>
            </w:r>
          </w:p>
        </w:tc>
        <w:tc>
          <w:tcPr>
            <w:tcW w:w="3704" w:type="dxa"/>
            <w:vMerge/>
          </w:tcPr>
          <w:p w:rsidR="0024481A" w:rsidRPr="002B19EE" w:rsidRDefault="0024481A" w:rsidP="002A698A">
            <w:pPr>
              <w:pStyle w:val="Default"/>
              <w:numPr>
                <w:ilvl w:val="0"/>
                <w:numId w:val="3"/>
              </w:numPr>
              <w:ind w:left="334"/>
              <w:rPr>
                <w:color w:val="auto"/>
                <w:sz w:val="22"/>
                <w:szCs w:val="22"/>
              </w:rPr>
            </w:pPr>
          </w:p>
        </w:tc>
      </w:tr>
    </w:tbl>
    <w:p w:rsidR="00D9481F" w:rsidRPr="002B19EE" w:rsidRDefault="00D9481F">
      <w:pPr>
        <w:spacing w:before="0" w:after="200"/>
        <w:rPr>
          <w:b/>
          <w:caps/>
          <w:color w:val="7F7602"/>
        </w:rPr>
      </w:pPr>
      <w:r w:rsidRPr="002B19EE">
        <w:br w:type="page"/>
      </w:r>
    </w:p>
    <w:p w:rsidR="002134B4" w:rsidRPr="002B19EE" w:rsidRDefault="002134B4" w:rsidP="002B19EE">
      <w:pPr>
        <w:pStyle w:val="Heading1"/>
      </w:pPr>
      <w:r w:rsidRPr="002B19EE">
        <w:lastRenderedPageBreak/>
        <w:t>Unit Y3</w:t>
      </w:r>
      <w:r w:rsidR="00432917" w:rsidRPr="002B19EE">
        <w:t>21</w:t>
      </w:r>
      <w:r w:rsidRPr="002B19EE">
        <w:t xml:space="preserve">: </w:t>
      </w:r>
      <w:r w:rsidR="00432917" w:rsidRPr="002B19EE">
        <w:t>THE MIDDLE EAST</w:t>
      </w:r>
      <w:r w:rsidRPr="002B19EE">
        <w:t xml:space="preserve"> – Depth studies</w:t>
      </w:r>
    </w:p>
    <w:p w:rsidR="002134B4" w:rsidRPr="002B19EE" w:rsidRDefault="002134B4" w:rsidP="002134B4">
      <w:pPr>
        <w:rPr>
          <w:caps/>
          <w:color w:val="000000" w:themeColor="text1"/>
        </w:rPr>
      </w:pPr>
      <w:r w:rsidRPr="002B19EE">
        <w:rPr>
          <w:caps/>
          <w:color w:val="000000" w:themeColor="text1"/>
        </w:rPr>
        <w:t>Note: Based on 3x 50 minute lessons per week</w:t>
      </w:r>
    </w:p>
    <w:p w:rsidR="002134B4" w:rsidRPr="002B19EE" w:rsidRDefault="002134B4" w:rsidP="002134B4">
      <w:pPr>
        <w:rPr>
          <w:caps/>
          <w:color w:val="000000" w:themeColor="text1"/>
        </w:rPr>
      </w:pPr>
      <w:r w:rsidRPr="002B19EE">
        <w:rPr>
          <w:caps/>
          <w:color w:val="000000" w:themeColor="text1"/>
        </w:rPr>
        <w:t>Terms based on 6 term year.</w:t>
      </w:r>
    </w:p>
    <w:p w:rsidR="00A90EBE" w:rsidRPr="002B19EE" w:rsidRDefault="00305187" w:rsidP="002B19EE">
      <w:r w:rsidRPr="002B19EE">
        <w:rPr>
          <w:i/>
          <w:caps/>
          <w:color w:val="000000" w:themeColor="text1"/>
        </w:rPr>
        <w:t>yOU COULD CHOOSE TO INTEGRATE THIS WITHIN THE SECTION ABOVE, SHOULD YOU WISH TO TEACH THIS CHRONOLOGICALLY, HOWEVER PLEASE NOTE QUESTIONS ON THE THEMATIC ESSAY ARE THEMATIC IN NATURE, WHEREAS THE DEPTH STUDIES ARE ROOTED IN INTERPRETATIONS.</w:t>
      </w:r>
    </w:p>
    <w:tbl>
      <w:tblPr>
        <w:tblStyle w:val="TableGrid"/>
        <w:tblW w:w="0" w:type="auto"/>
        <w:tblLook w:val="04A0" w:firstRow="1" w:lastRow="0" w:firstColumn="1" w:lastColumn="0" w:noHBand="0" w:noVBand="1"/>
        <w:tblCaption w:val="Y321 SOW table"/>
      </w:tblPr>
      <w:tblGrid>
        <w:gridCol w:w="2758"/>
        <w:gridCol w:w="1774"/>
        <w:gridCol w:w="2568"/>
        <w:gridCol w:w="4445"/>
        <w:gridCol w:w="3315"/>
      </w:tblGrid>
      <w:tr w:rsidR="002B19EE" w:rsidRPr="002B19EE" w:rsidTr="002B19EE">
        <w:trPr>
          <w:trHeight w:val="422"/>
          <w:tblHeader/>
        </w:trPr>
        <w:tc>
          <w:tcPr>
            <w:tcW w:w="2758" w:type="dxa"/>
            <w:shd w:val="clear" w:color="auto" w:fill="auto"/>
          </w:tcPr>
          <w:p w:rsidR="0072043A" w:rsidRPr="002B19EE" w:rsidRDefault="0072043A" w:rsidP="00C57259">
            <w:pPr>
              <w:rPr>
                <w:b/>
                <w:color w:val="000000" w:themeColor="text1"/>
              </w:rPr>
            </w:pPr>
            <w:r w:rsidRPr="002B19EE">
              <w:rPr>
                <w:b/>
                <w:color w:val="000000" w:themeColor="text1"/>
              </w:rPr>
              <w:t>Key Topic</w:t>
            </w:r>
          </w:p>
        </w:tc>
        <w:tc>
          <w:tcPr>
            <w:tcW w:w="1774" w:type="dxa"/>
            <w:shd w:val="clear" w:color="auto" w:fill="auto"/>
          </w:tcPr>
          <w:p w:rsidR="0072043A" w:rsidRPr="002B19EE" w:rsidRDefault="0072043A" w:rsidP="00C57259">
            <w:pPr>
              <w:rPr>
                <w:b/>
                <w:color w:val="000000" w:themeColor="text1"/>
              </w:rPr>
            </w:pPr>
            <w:r w:rsidRPr="002B19EE">
              <w:rPr>
                <w:b/>
                <w:color w:val="000000" w:themeColor="text1"/>
              </w:rPr>
              <w:t>Number of Lessons</w:t>
            </w:r>
          </w:p>
        </w:tc>
        <w:tc>
          <w:tcPr>
            <w:tcW w:w="2568" w:type="dxa"/>
            <w:shd w:val="clear" w:color="auto" w:fill="auto"/>
          </w:tcPr>
          <w:p w:rsidR="0072043A" w:rsidRPr="002B19EE" w:rsidRDefault="0072043A" w:rsidP="00C57259">
            <w:pPr>
              <w:rPr>
                <w:b/>
                <w:color w:val="000000" w:themeColor="text1"/>
              </w:rPr>
            </w:pPr>
            <w:r w:rsidRPr="002B19EE">
              <w:rPr>
                <w:b/>
                <w:color w:val="000000" w:themeColor="text1"/>
              </w:rPr>
              <w:t>Indicative Content</w:t>
            </w:r>
          </w:p>
        </w:tc>
        <w:tc>
          <w:tcPr>
            <w:tcW w:w="4445" w:type="dxa"/>
            <w:shd w:val="clear" w:color="auto" w:fill="auto"/>
          </w:tcPr>
          <w:p w:rsidR="0072043A" w:rsidRPr="002B19EE" w:rsidRDefault="0072043A" w:rsidP="00C57259">
            <w:pPr>
              <w:rPr>
                <w:b/>
                <w:color w:val="000000" w:themeColor="text1"/>
              </w:rPr>
            </w:pPr>
            <w:r w:rsidRPr="002B19EE">
              <w:rPr>
                <w:b/>
                <w:color w:val="000000" w:themeColor="text1"/>
              </w:rPr>
              <w:t>Extended Content</w:t>
            </w:r>
          </w:p>
        </w:tc>
        <w:tc>
          <w:tcPr>
            <w:tcW w:w="3315" w:type="dxa"/>
            <w:shd w:val="clear" w:color="auto" w:fill="auto"/>
          </w:tcPr>
          <w:p w:rsidR="0072043A" w:rsidRPr="002B19EE" w:rsidRDefault="0072043A" w:rsidP="00C57259">
            <w:pPr>
              <w:rPr>
                <w:b/>
                <w:color w:val="000000" w:themeColor="text1"/>
              </w:rPr>
            </w:pPr>
            <w:r w:rsidRPr="002B19EE">
              <w:rPr>
                <w:b/>
                <w:color w:val="000000" w:themeColor="text1"/>
              </w:rPr>
              <w:t>Resources</w:t>
            </w:r>
          </w:p>
        </w:tc>
      </w:tr>
      <w:tr w:rsidR="0024481A" w:rsidRPr="002B19EE" w:rsidTr="0072043A">
        <w:tc>
          <w:tcPr>
            <w:tcW w:w="2758" w:type="dxa"/>
            <w:vMerge w:val="restart"/>
            <w:tcBorders>
              <w:top w:val="single" w:sz="4" w:space="0" w:color="auto"/>
            </w:tcBorders>
          </w:tcPr>
          <w:p w:rsidR="0024481A" w:rsidRPr="002B19EE" w:rsidRDefault="009E2264" w:rsidP="00C57259">
            <w:pPr>
              <w:pStyle w:val="Default"/>
              <w:rPr>
                <w:b/>
                <w:color w:val="auto"/>
                <w:sz w:val="22"/>
                <w:szCs w:val="22"/>
              </w:rPr>
            </w:pPr>
            <w:r w:rsidRPr="002B19EE">
              <w:rPr>
                <w:b/>
                <w:bCs/>
                <w:sz w:val="22"/>
                <w:szCs w:val="22"/>
              </w:rPr>
              <w:t>British Policy and the Middle East 1908-1948</w:t>
            </w:r>
          </w:p>
        </w:tc>
        <w:tc>
          <w:tcPr>
            <w:tcW w:w="1774" w:type="dxa"/>
          </w:tcPr>
          <w:p w:rsidR="0024481A" w:rsidRPr="002B19EE" w:rsidRDefault="00A30448" w:rsidP="00C57259">
            <w:pPr>
              <w:autoSpaceDE w:val="0"/>
              <w:autoSpaceDN w:val="0"/>
              <w:adjustRightInd w:val="0"/>
            </w:pPr>
            <w:r w:rsidRPr="002B19EE">
              <w:t>2</w:t>
            </w:r>
          </w:p>
        </w:tc>
        <w:tc>
          <w:tcPr>
            <w:tcW w:w="2568" w:type="dxa"/>
          </w:tcPr>
          <w:p w:rsidR="00842881" w:rsidRPr="002B19EE" w:rsidRDefault="00842881" w:rsidP="00842881">
            <w:pPr>
              <w:pStyle w:val="Pa19"/>
              <w:spacing w:after="80"/>
              <w:rPr>
                <w:rFonts w:ascii="Arial" w:hAnsi="Arial" w:cs="Arial"/>
                <w:color w:val="000000"/>
                <w:sz w:val="22"/>
                <w:szCs w:val="22"/>
              </w:rPr>
            </w:pPr>
            <w:r w:rsidRPr="002B19EE">
              <w:rPr>
                <w:rFonts w:ascii="Arial" w:hAnsi="Arial" w:cs="Arial"/>
                <w:color w:val="000000"/>
                <w:sz w:val="22"/>
                <w:szCs w:val="22"/>
              </w:rPr>
              <w:t xml:space="preserve">British imperial aims pre-1914, the First World War and the partition of the Middle East (Sykes-Picot Agreement, the Balfour Declaration, McMahon-Hussein letters, the Peace Treaties) </w:t>
            </w:r>
          </w:p>
          <w:p w:rsidR="0024481A" w:rsidRPr="002B19EE" w:rsidRDefault="0024481A" w:rsidP="00C57259">
            <w:pPr>
              <w:pStyle w:val="Pa19"/>
              <w:spacing w:after="80"/>
              <w:rPr>
                <w:rFonts w:ascii="Arial" w:hAnsi="Arial" w:cs="Arial"/>
                <w:color w:val="000000"/>
                <w:sz w:val="22"/>
                <w:szCs w:val="22"/>
              </w:rPr>
            </w:pPr>
          </w:p>
        </w:tc>
        <w:tc>
          <w:tcPr>
            <w:tcW w:w="4445" w:type="dxa"/>
          </w:tcPr>
          <w:p w:rsidR="002036B1" w:rsidRPr="002B19EE" w:rsidRDefault="00C07CC3" w:rsidP="002036B1">
            <w:pPr>
              <w:pStyle w:val="Default"/>
              <w:numPr>
                <w:ilvl w:val="0"/>
                <w:numId w:val="2"/>
              </w:numPr>
              <w:ind w:left="413"/>
              <w:rPr>
                <w:color w:val="auto"/>
                <w:sz w:val="22"/>
                <w:szCs w:val="22"/>
              </w:rPr>
            </w:pPr>
            <w:r w:rsidRPr="002B19EE">
              <w:rPr>
                <w:color w:val="auto"/>
                <w:sz w:val="22"/>
                <w:szCs w:val="22"/>
              </w:rPr>
              <w:t xml:space="preserve">General </w:t>
            </w:r>
            <w:r w:rsidR="00857EB1" w:rsidRPr="002B19EE">
              <w:rPr>
                <w:color w:val="auto"/>
                <w:sz w:val="22"/>
                <w:szCs w:val="22"/>
              </w:rPr>
              <w:t>British</w:t>
            </w:r>
            <w:r w:rsidRPr="002B19EE">
              <w:rPr>
                <w:color w:val="auto"/>
                <w:sz w:val="22"/>
                <w:szCs w:val="22"/>
              </w:rPr>
              <w:t xml:space="preserve"> imperial aims e.g. route to India, protecting the empire</w:t>
            </w:r>
          </w:p>
          <w:p w:rsidR="00C07CC3" w:rsidRPr="002B19EE" w:rsidRDefault="00C07CC3" w:rsidP="002036B1">
            <w:pPr>
              <w:pStyle w:val="Default"/>
              <w:numPr>
                <w:ilvl w:val="0"/>
                <w:numId w:val="2"/>
              </w:numPr>
              <w:ind w:left="413"/>
              <w:rPr>
                <w:color w:val="auto"/>
                <w:sz w:val="22"/>
                <w:szCs w:val="22"/>
              </w:rPr>
            </w:pPr>
            <w:r w:rsidRPr="002B19EE">
              <w:rPr>
                <w:color w:val="auto"/>
                <w:sz w:val="22"/>
                <w:szCs w:val="22"/>
              </w:rPr>
              <w:t xml:space="preserve">How the First </w:t>
            </w:r>
            <w:r w:rsidR="00857EB1" w:rsidRPr="002B19EE">
              <w:rPr>
                <w:color w:val="auto"/>
                <w:sz w:val="22"/>
                <w:szCs w:val="22"/>
              </w:rPr>
              <w:t>World</w:t>
            </w:r>
            <w:r w:rsidRPr="002B19EE">
              <w:rPr>
                <w:color w:val="auto"/>
                <w:sz w:val="22"/>
                <w:szCs w:val="22"/>
              </w:rPr>
              <w:t xml:space="preserve"> War affected British aims</w:t>
            </w:r>
          </w:p>
          <w:p w:rsidR="00C07CC3" w:rsidRPr="002B19EE" w:rsidRDefault="00C07CC3" w:rsidP="002036B1">
            <w:pPr>
              <w:pStyle w:val="Default"/>
              <w:numPr>
                <w:ilvl w:val="0"/>
                <w:numId w:val="2"/>
              </w:numPr>
              <w:ind w:left="413"/>
              <w:rPr>
                <w:color w:val="auto"/>
                <w:sz w:val="22"/>
                <w:szCs w:val="22"/>
              </w:rPr>
            </w:pPr>
            <w:r w:rsidRPr="002B19EE">
              <w:rPr>
                <w:color w:val="auto"/>
                <w:sz w:val="22"/>
                <w:szCs w:val="22"/>
              </w:rPr>
              <w:t>Reasons why Sykes-Picot was agreed and its terms</w:t>
            </w:r>
          </w:p>
          <w:p w:rsidR="00C07CC3" w:rsidRPr="002B19EE" w:rsidRDefault="00C07CC3" w:rsidP="002036B1">
            <w:pPr>
              <w:pStyle w:val="Default"/>
              <w:numPr>
                <w:ilvl w:val="0"/>
                <w:numId w:val="2"/>
              </w:numPr>
              <w:ind w:left="413"/>
              <w:rPr>
                <w:color w:val="auto"/>
                <w:sz w:val="22"/>
                <w:szCs w:val="22"/>
              </w:rPr>
            </w:pPr>
            <w:r w:rsidRPr="002B19EE">
              <w:rPr>
                <w:color w:val="auto"/>
                <w:sz w:val="22"/>
                <w:szCs w:val="22"/>
              </w:rPr>
              <w:t>Reasons for the Balfour Declaration</w:t>
            </w:r>
          </w:p>
          <w:p w:rsidR="00C07CC3" w:rsidRPr="002B19EE" w:rsidRDefault="00C07CC3" w:rsidP="002036B1">
            <w:pPr>
              <w:pStyle w:val="Default"/>
              <w:numPr>
                <w:ilvl w:val="0"/>
                <w:numId w:val="2"/>
              </w:numPr>
              <w:ind w:left="413"/>
              <w:rPr>
                <w:color w:val="auto"/>
                <w:sz w:val="22"/>
                <w:szCs w:val="22"/>
              </w:rPr>
            </w:pPr>
            <w:r w:rsidRPr="002B19EE">
              <w:rPr>
                <w:color w:val="auto"/>
                <w:sz w:val="22"/>
                <w:szCs w:val="22"/>
              </w:rPr>
              <w:t>Impact of the McMahon-Hussein letters</w:t>
            </w:r>
          </w:p>
          <w:p w:rsidR="00C07CC3" w:rsidRPr="002B19EE" w:rsidRDefault="00C07CC3" w:rsidP="002036B1">
            <w:pPr>
              <w:pStyle w:val="Default"/>
              <w:numPr>
                <w:ilvl w:val="0"/>
                <w:numId w:val="2"/>
              </w:numPr>
              <w:ind w:left="413"/>
              <w:rPr>
                <w:color w:val="auto"/>
                <w:sz w:val="22"/>
                <w:szCs w:val="22"/>
              </w:rPr>
            </w:pPr>
            <w:r w:rsidRPr="002B19EE">
              <w:rPr>
                <w:color w:val="auto"/>
                <w:sz w:val="22"/>
                <w:szCs w:val="22"/>
              </w:rPr>
              <w:t>Impact of the peace treaties on British policy and attitudes to the British</w:t>
            </w:r>
          </w:p>
        </w:tc>
        <w:tc>
          <w:tcPr>
            <w:tcW w:w="3315" w:type="dxa"/>
            <w:vMerge w:val="restart"/>
          </w:tcPr>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Access to History: The Middle East 1908-2011 </w:t>
            </w:r>
            <w:r w:rsidR="00842881" w:rsidRPr="002B19EE">
              <w:rPr>
                <w:color w:val="auto"/>
                <w:sz w:val="22"/>
                <w:szCs w:val="22"/>
              </w:rPr>
              <w:t>(second edition), Michael Scott-Baumann (Hodder)</w:t>
            </w:r>
            <w:r w:rsidR="00D117EB" w:rsidRPr="002B19EE">
              <w:rPr>
                <w:color w:val="auto"/>
                <w:sz w:val="22"/>
                <w:szCs w:val="22"/>
              </w:rPr>
              <w:t xml:space="preserve"> </w:t>
            </w:r>
            <w:r w:rsidR="00D117EB" w:rsidRPr="002B19EE">
              <w:rPr>
                <w:i/>
                <w:color w:val="auto"/>
                <w:sz w:val="22"/>
                <w:szCs w:val="22"/>
              </w:rPr>
              <w:t>also contains an excellent bibliography</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The Arab-Israeli Conflict (Seminar Studies in History), </w:t>
            </w:r>
            <w:proofErr w:type="spellStart"/>
            <w:r w:rsidR="00842881" w:rsidRPr="002B19EE">
              <w:rPr>
                <w:color w:val="auto"/>
                <w:sz w:val="22"/>
                <w:szCs w:val="22"/>
              </w:rPr>
              <w:t>Kisrten</w:t>
            </w:r>
            <w:proofErr w:type="spellEnd"/>
            <w:r w:rsidR="00842881" w:rsidRPr="002B19EE">
              <w:rPr>
                <w:color w:val="auto"/>
                <w:sz w:val="22"/>
                <w:szCs w:val="22"/>
              </w:rPr>
              <w:t xml:space="preserve"> E. Schulze</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A History of the Middle East (4th edition), </w:t>
            </w:r>
            <w:r w:rsidR="00842881" w:rsidRPr="002B19EE">
              <w:rPr>
                <w:color w:val="auto"/>
                <w:sz w:val="22"/>
                <w:szCs w:val="22"/>
              </w:rPr>
              <w:t>Peter Mansfield</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The Palestinian-Israeli Conflict: A Very Short Introduction</w:t>
            </w:r>
            <w:r w:rsidR="00842881" w:rsidRPr="002B19EE">
              <w:rPr>
                <w:color w:val="auto"/>
                <w:sz w:val="22"/>
                <w:szCs w:val="22"/>
              </w:rPr>
              <w:t>, Martin Bunton</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A Line in the Sand: Britain, France and the Struggle for Master of the Middle East</w:t>
            </w:r>
            <w:r w:rsidR="00842881" w:rsidRPr="002B19EE">
              <w:rPr>
                <w:color w:val="auto"/>
                <w:sz w:val="22"/>
                <w:szCs w:val="22"/>
              </w:rPr>
              <w:t>, James Barr</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Cursed Victory: A History of Israeli and the Occupied Territories</w:t>
            </w:r>
            <w:r w:rsidR="00842881" w:rsidRPr="002B19EE">
              <w:rPr>
                <w:color w:val="auto"/>
                <w:sz w:val="22"/>
                <w:szCs w:val="22"/>
              </w:rPr>
              <w:t xml:space="preserve">, </w:t>
            </w:r>
            <w:proofErr w:type="spellStart"/>
            <w:r w:rsidR="00842881" w:rsidRPr="002B19EE">
              <w:rPr>
                <w:color w:val="auto"/>
                <w:sz w:val="22"/>
                <w:szCs w:val="22"/>
              </w:rPr>
              <w:t>Ahron</w:t>
            </w:r>
            <w:proofErr w:type="spellEnd"/>
            <w:r w:rsidR="00842881" w:rsidRPr="002B19EE">
              <w:rPr>
                <w:color w:val="auto"/>
                <w:sz w:val="22"/>
                <w:szCs w:val="22"/>
              </w:rPr>
              <w:t xml:space="preserve"> </w:t>
            </w:r>
            <w:proofErr w:type="spellStart"/>
            <w:r w:rsidR="00842881" w:rsidRPr="002B19EE">
              <w:rPr>
                <w:color w:val="auto"/>
                <w:sz w:val="22"/>
                <w:szCs w:val="22"/>
              </w:rPr>
              <w:t>Bregman</w:t>
            </w:r>
            <w:proofErr w:type="spellEnd"/>
          </w:p>
          <w:p w:rsidR="0024481A" w:rsidRPr="002B19EE" w:rsidRDefault="00F676C2" w:rsidP="00842881">
            <w:pPr>
              <w:pStyle w:val="Default"/>
              <w:numPr>
                <w:ilvl w:val="0"/>
                <w:numId w:val="3"/>
              </w:numPr>
              <w:ind w:left="334"/>
              <w:rPr>
                <w:color w:val="auto"/>
                <w:sz w:val="22"/>
                <w:szCs w:val="22"/>
              </w:rPr>
            </w:pPr>
            <w:r w:rsidRPr="002B19EE">
              <w:rPr>
                <w:i/>
                <w:color w:val="auto"/>
                <w:sz w:val="22"/>
                <w:szCs w:val="22"/>
              </w:rPr>
              <w:lastRenderedPageBreak/>
              <w:t>The Arabs: A History – Second Edition</w:t>
            </w:r>
            <w:r w:rsidR="00842881" w:rsidRPr="002B19EE">
              <w:rPr>
                <w:color w:val="auto"/>
                <w:sz w:val="22"/>
                <w:szCs w:val="22"/>
              </w:rPr>
              <w:t>, Eugene Rogan</w:t>
            </w:r>
          </w:p>
        </w:tc>
      </w:tr>
      <w:tr w:rsidR="0024481A" w:rsidRPr="002B19EE" w:rsidTr="0072043A">
        <w:tc>
          <w:tcPr>
            <w:tcW w:w="2758" w:type="dxa"/>
            <w:vMerge/>
          </w:tcPr>
          <w:p w:rsidR="0024481A" w:rsidRPr="002B19EE" w:rsidRDefault="0024481A" w:rsidP="00C57259">
            <w:pPr>
              <w:pStyle w:val="Tabletext"/>
              <w:rPr>
                <w:sz w:val="22"/>
                <w:szCs w:val="22"/>
              </w:rPr>
            </w:pPr>
          </w:p>
        </w:tc>
        <w:tc>
          <w:tcPr>
            <w:tcW w:w="1774" w:type="dxa"/>
          </w:tcPr>
          <w:p w:rsidR="0024481A" w:rsidRPr="002B19EE" w:rsidRDefault="00A30448" w:rsidP="00C57259">
            <w:r w:rsidRPr="002B19EE">
              <w:t>2</w:t>
            </w:r>
          </w:p>
        </w:tc>
        <w:tc>
          <w:tcPr>
            <w:tcW w:w="2568" w:type="dxa"/>
          </w:tcPr>
          <w:p w:rsidR="00842881" w:rsidRPr="002B19EE" w:rsidRDefault="00842881" w:rsidP="00842881">
            <w:pPr>
              <w:pStyle w:val="Pa19"/>
              <w:spacing w:after="80"/>
              <w:rPr>
                <w:rFonts w:ascii="Arial" w:hAnsi="Arial" w:cs="Arial"/>
                <w:color w:val="000000"/>
                <w:sz w:val="22"/>
                <w:szCs w:val="22"/>
              </w:rPr>
            </w:pPr>
            <w:r w:rsidRPr="002B19EE">
              <w:rPr>
                <w:rFonts w:ascii="Arial" w:hAnsi="Arial" w:cs="Arial"/>
                <w:color w:val="000000"/>
                <w:sz w:val="22"/>
                <w:szCs w:val="22"/>
              </w:rPr>
              <w:t xml:space="preserve">policy approaches to the British Mandates of Palestine and Transjordan; British oil companies; relations with Faisal and Iraq; relations with Arabs and Jews and the proposed solutions; problems and policy in British Egypt; </w:t>
            </w:r>
          </w:p>
          <w:p w:rsidR="0024481A" w:rsidRPr="002B19EE" w:rsidRDefault="0024481A" w:rsidP="00C57259">
            <w:pPr>
              <w:pStyle w:val="Pa19"/>
              <w:spacing w:after="80"/>
              <w:rPr>
                <w:rFonts w:ascii="Arial" w:hAnsi="Arial" w:cs="Arial"/>
                <w:color w:val="000000"/>
                <w:sz w:val="22"/>
                <w:szCs w:val="22"/>
              </w:rPr>
            </w:pPr>
          </w:p>
        </w:tc>
        <w:tc>
          <w:tcPr>
            <w:tcW w:w="4445" w:type="dxa"/>
          </w:tcPr>
          <w:p w:rsidR="00111991" w:rsidRPr="002B19EE" w:rsidRDefault="00C07CC3" w:rsidP="002A698A">
            <w:pPr>
              <w:pStyle w:val="Default"/>
              <w:numPr>
                <w:ilvl w:val="0"/>
                <w:numId w:val="2"/>
              </w:numPr>
              <w:ind w:left="413"/>
              <w:rPr>
                <w:color w:val="auto"/>
                <w:sz w:val="22"/>
                <w:szCs w:val="22"/>
              </w:rPr>
            </w:pPr>
            <w:r w:rsidRPr="002B19EE">
              <w:rPr>
                <w:color w:val="auto"/>
                <w:sz w:val="22"/>
                <w:szCs w:val="22"/>
              </w:rPr>
              <w:t xml:space="preserve">How the </w:t>
            </w:r>
            <w:r w:rsidR="00521DA2" w:rsidRPr="002B19EE">
              <w:rPr>
                <w:color w:val="auto"/>
                <w:sz w:val="22"/>
                <w:szCs w:val="22"/>
              </w:rPr>
              <w:t>mandates</w:t>
            </w:r>
            <w:r w:rsidRPr="002B19EE">
              <w:rPr>
                <w:color w:val="auto"/>
                <w:sz w:val="22"/>
                <w:szCs w:val="22"/>
              </w:rPr>
              <w:t xml:space="preserve"> were governed</w:t>
            </w:r>
          </w:p>
          <w:p w:rsidR="00C07CC3" w:rsidRPr="002B19EE" w:rsidRDefault="00C07CC3" w:rsidP="002A698A">
            <w:pPr>
              <w:pStyle w:val="Default"/>
              <w:numPr>
                <w:ilvl w:val="0"/>
                <w:numId w:val="2"/>
              </w:numPr>
              <w:ind w:left="413"/>
              <w:rPr>
                <w:color w:val="auto"/>
                <w:sz w:val="22"/>
                <w:szCs w:val="22"/>
              </w:rPr>
            </w:pPr>
            <w:r w:rsidRPr="002B19EE">
              <w:rPr>
                <w:color w:val="auto"/>
                <w:sz w:val="22"/>
                <w:szCs w:val="22"/>
              </w:rPr>
              <w:t>Economic, political and social development</w:t>
            </w:r>
          </w:p>
          <w:p w:rsidR="00C07CC3" w:rsidRPr="002B19EE" w:rsidRDefault="00C07CC3" w:rsidP="002A698A">
            <w:pPr>
              <w:pStyle w:val="Default"/>
              <w:numPr>
                <w:ilvl w:val="0"/>
                <w:numId w:val="2"/>
              </w:numPr>
              <w:ind w:left="413"/>
              <w:rPr>
                <w:color w:val="auto"/>
                <w:sz w:val="22"/>
                <w:szCs w:val="22"/>
              </w:rPr>
            </w:pPr>
            <w:r w:rsidRPr="002B19EE">
              <w:rPr>
                <w:color w:val="auto"/>
                <w:sz w:val="22"/>
                <w:szCs w:val="22"/>
              </w:rPr>
              <w:t>Actions of oil companies</w:t>
            </w:r>
          </w:p>
          <w:p w:rsidR="00C07CC3" w:rsidRPr="002B19EE" w:rsidRDefault="00C07CC3" w:rsidP="002A698A">
            <w:pPr>
              <w:pStyle w:val="Default"/>
              <w:numPr>
                <w:ilvl w:val="0"/>
                <w:numId w:val="2"/>
              </w:numPr>
              <w:ind w:left="413"/>
              <w:rPr>
                <w:color w:val="auto"/>
                <w:sz w:val="22"/>
                <w:szCs w:val="22"/>
              </w:rPr>
            </w:pPr>
            <w:r w:rsidRPr="002B19EE">
              <w:rPr>
                <w:color w:val="auto"/>
                <w:sz w:val="22"/>
                <w:szCs w:val="22"/>
              </w:rPr>
              <w:t xml:space="preserve">Why relations with Faisal and Iraq </w:t>
            </w:r>
            <w:r w:rsidR="00521DA2" w:rsidRPr="002B19EE">
              <w:rPr>
                <w:color w:val="auto"/>
                <w:sz w:val="22"/>
                <w:szCs w:val="22"/>
              </w:rPr>
              <w:t>changed</w:t>
            </w:r>
          </w:p>
          <w:p w:rsidR="00521DA2" w:rsidRPr="002B19EE" w:rsidRDefault="00521DA2" w:rsidP="002A698A">
            <w:pPr>
              <w:pStyle w:val="Default"/>
              <w:numPr>
                <w:ilvl w:val="0"/>
                <w:numId w:val="2"/>
              </w:numPr>
              <w:ind w:left="413"/>
              <w:rPr>
                <w:color w:val="auto"/>
                <w:sz w:val="22"/>
                <w:szCs w:val="22"/>
              </w:rPr>
            </w:pPr>
            <w:r w:rsidRPr="002B19EE">
              <w:rPr>
                <w:color w:val="auto"/>
                <w:sz w:val="22"/>
                <w:szCs w:val="22"/>
              </w:rPr>
              <w:t>How relations with Arabs and Jews changed in the 1920s and 1930s</w:t>
            </w:r>
          </w:p>
          <w:p w:rsidR="00521DA2" w:rsidRPr="002B19EE" w:rsidRDefault="00521DA2" w:rsidP="002A698A">
            <w:pPr>
              <w:pStyle w:val="Default"/>
              <w:numPr>
                <w:ilvl w:val="0"/>
                <w:numId w:val="2"/>
              </w:numPr>
              <w:ind w:left="413"/>
              <w:rPr>
                <w:color w:val="auto"/>
                <w:sz w:val="22"/>
                <w:szCs w:val="22"/>
              </w:rPr>
            </w:pPr>
            <w:r w:rsidRPr="002B19EE">
              <w:rPr>
                <w:color w:val="auto"/>
                <w:sz w:val="22"/>
                <w:szCs w:val="22"/>
              </w:rPr>
              <w:t>Proposed solutions and their reception</w:t>
            </w:r>
          </w:p>
          <w:p w:rsidR="00521DA2" w:rsidRPr="002B19EE" w:rsidRDefault="00521DA2" w:rsidP="002A698A">
            <w:pPr>
              <w:pStyle w:val="Default"/>
              <w:numPr>
                <w:ilvl w:val="0"/>
                <w:numId w:val="2"/>
              </w:numPr>
              <w:ind w:left="413"/>
              <w:rPr>
                <w:color w:val="auto"/>
                <w:sz w:val="22"/>
                <w:szCs w:val="22"/>
              </w:rPr>
            </w:pPr>
            <w:r w:rsidRPr="002B19EE">
              <w:rPr>
                <w:color w:val="auto"/>
                <w:sz w:val="22"/>
                <w:szCs w:val="22"/>
              </w:rPr>
              <w:t>Reasons for problems in Egypt and British reactions</w:t>
            </w:r>
          </w:p>
        </w:tc>
        <w:tc>
          <w:tcPr>
            <w:tcW w:w="3315" w:type="dxa"/>
            <w:vMerge/>
          </w:tcPr>
          <w:p w:rsidR="0024481A" w:rsidRPr="002B19EE" w:rsidRDefault="0024481A" w:rsidP="002A698A">
            <w:pPr>
              <w:pStyle w:val="Default"/>
              <w:numPr>
                <w:ilvl w:val="0"/>
                <w:numId w:val="2"/>
              </w:numPr>
              <w:ind w:left="413"/>
              <w:rPr>
                <w:color w:val="auto"/>
                <w:sz w:val="22"/>
                <w:szCs w:val="22"/>
              </w:rPr>
            </w:pPr>
          </w:p>
        </w:tc>
      </w:tr>
      <w:tr w:rsidR="0024481A" w:rsidRPr="002B19EE" w:rsidTr="0072043A">
        <w:tc>
          <w:tcPr>
            <w:tcW w:w="2758" w:type="dxa"/>
            <w:vMerge/>
          </w:tcPr>
          <w:p w:rsidR="0024481A" w:rsidRPr="002B19EE" w:rsidRDefault="0024481A" w:rsidP="00C57259">
            <w:pPr>
              <w:pStyle w:val="Tabletext"/>
              <w:rPr>
                <w:sz w:val="22"/>
                <w:szCs w:val="22"/>
              </w:rPr>
            </w:pPr>
          </w:p>
        </w:tc>
        <w:tc>
          <w:tcPr>
            <w:tcW w:w="1774" w:type="dxa"/>
          </w:tcPr>
          <w:p w:rsidR="0024481A" w:rsidRPr="002B19EE" w:rsidRDefault="00A30448" w:rsidP="00C57259">
            <w:r w:rsidRPr="002B19EE">
              <w:t>2</w:t>
            </w:r>
          </w:p>
        </w:tc>
        <w:tc>
          <w:tcPr>
            <w:tcW w:w="2568" w:type="dxa"/>
          </w:tcPr>
          <w:p w:rsidR="00842881" w:rsidRPr="002B19EE" w:rsidRDefault="00842881" w:rsidP="00842881">
            <w:pPr>
              <w:pStyle w:val="Pa19"/>
              <w:spacing w:after="80"/>
              <w:rPr>
                <w:rFonts w:ascii="Arial" w:hAnsi="Arial" w:cs="Arial"/>
                <w:color w:val="000000"/>
                <w:sz w:val="22"/>
                <w:szCs w:val="22"/>
              </w:rPr>
            </w:pPr>
            <w:r w:rsidRPr="002B19EE">
              <w:rPr>
                <w:rFonts w:ascii="Arial" w:hAnsi="Arial" w:cs="Arial"/>
                <w:color w:val="000000"/>
                <w:sz w:val="22"/>
                <w:szCs w:val="22"/>
              </w:rPr>
              <w:t xml:space="preserve">the impact of the Second World War and the Biltmore Declaration; the reasons for withdrawal from Palestine in 1948. </w:t>
            </w:r>
          </w:p>
          <w:p w:rsidR="0024481A" w:rsidRPr="002B19EE" w:rsidRDefault="0024481A" w:rsidP="00C57259">
            <w:pPr>
              <w:pStyle w:val="Pa19"/>
              <w:spacing w:after="80"/>
              <w:rPr>
                <w:rFonts w:ascii="Arial" w:hAnsi="Arial" w:cs="Arial"/>
                <w:color w:val="000000"/>
                <w:sz w:val="22"/>
                <w:szCs w:val="22"/>
              </w:rPr>
            </w:pPr>
          </w:p>
        </w:tc>
        <w:tc>
          <w:tcPr>
            <w:tcW w:w="4445" w:type="dxa"/>
          </w:tcPr>
          <w:p w:rsidR="008D7595" w:rsidRPr="002B19EE" w:rsidRDefault="00521DA2" w:rsidP="009E2264">
            <w:pPr>
              <w:pStyle w:val="Default"/>
              <w:numPr>
                <w:ilvl w:val="0"/>
                <w:numId w:val="2"/>
              </w:numPr>
              <w:ind w:left="413"/>
              <w:rPr>
                <w:color w:val="auto"/>
                <w:sz w:val="22"/>
                <w:szCs w:val="22"/>
              </w:rPr>
            </w:pPr>
            <w:r w:rsidRPr="002B19EE">
              <w:rPr>
                <w:color w:val="auto"/>
                <w:sz w:val="22"/>
                <w:szCs w:val="22"/>
              </w:rPr>
              <w:t>British government white paper in 1939</w:t>
            </w:r>
          </w:p>
          <w:p w:rsidR="00521DA2" w:rsidRPr="002B19EE" w:rsidRDefault="00521DA2" w:rsidP="009E2264">
            <w:pPr>
              <w:pStyle w:val="Default"/>
              <w:numPr>
                <w:ilvl w:val="0"/>
                <w:numId w:val="2"/>
              </w:numPr>
              <w:ind w:left="413"/>
              <w:rPr>
                <w:color w:val="auto"/>
                <w:sz w:val="22"/>
                <w:szCs w:val="22"/>
              </w:rPr>
            </w:pPr>
            <w:r w:rsidRPr="002B19EE">
              <w:rPr>
                <w:color w:val="auto"/>
                <w:sz w:val="22"/>
                <w:szCs w:val="22"/>
              </w:rPr>
              <w:t>Increasing US involvement and interest</w:t>
            </w:r>
          </w:p>
          <w:p w:rsidR="00521DA2" w:rsidRPr="002B19EE" w:rsidRDefault="00521DA2" w:rsidP="009E2264">
            <w:pPr>
              <w:pStyle w:val="Default"/>
              <w:numPr>
                <w:ilvl w:val="0"/>
                <w:numId w:val="2"/>
              </w:numPr>
              <w:ind w:left="413"/>
              <w:rPr>
                <w:color w:val="auto"/>
                <w:sz w:val="22"/>
                <w:szCs w:val="22"/>
              </w:rPr>
            </w:pPr>
            <w:r w:rsidRPr="002B19EE">
              <w:rPr>
                <w:color w:val="auto"/>
                <w:sz w:val="22"/>
                <w:szCs w:val="22"/>
              </w:rPr>
              <w:t>Jewish terrorism- impact of the Biltmore Conference</w:t>
            </w:r>
          </w:p>
          <w:p w:rsidR="00521DA2" w:rsidRPr="002B19EE" w:rsidRDefault="00521DA2" w:rsidP="009E2264">
            <w:pPr>
              <w:pStyle w:val="Default"/>
              <w:numPr>
                <w:ilvl w:val="0"/>
                <w:numId w:val="2"/>
              </w:numPr>
              <w:ind w:left="413"/>
              <w:rPr>
                <w:color w:val="auto"/>
                <w:sz w:val="22"/>
                <w:szCs w:val="22"/>
              </w:rPr>
            </w:pPr>
            <w:r w:rsidRPr="002B19EE">
              <w:rPr>
                <w:color w:val="auto"/>
                <w:sz w:val="22"/>
                <w:szCs w:val="22"/>
              </w:rPr>
              <w:t>Decision to hand over Palestine to the Un – reasons for and impact of decision</w:t>
            </w:r>
          </w:p>
          <w:p w:rsidR="00521DA2" w:rsidRPr="002B19EE" w:rsidRDefault="00521DA2" w:rsidP="00521DA2">
            <w:pPr>
              <w:pStyle w:val="Default"/>
              <w:ind w:left="413"/>
              <w:rPr>
                <w:color w:val="auto"/>
                <w:sz w:val="22"/>
                <w:szCs w:val="22"/>
              </w:rPr>
            </w:pPr>
          </w:p>
        </w:tc>
        <w:tc>
          <w:tcPr>
            <w:tcW w:w="3315" w:type="dxa"/>
            <w:vMerge/>
          </w:tcPr>
          <w:p w:rsidR="0024481A" w:rsidRPr="002B19EE" w:rsidRDefault="0024481A" w:rsidP="002A698A">
            <w:pPr>
              <w:pStyle w:val="Default"/>
              <w:numPr>
                <w:ilvl w:val="0"/>
                <w:numId w:val="2"/>
              </w:numPr>
              <w:ind w:left="413"/>
              <w:rPr>
                <w:color w:val="auto"/>
                <w:sz w:val="22"/>
                <w:szCs w:val="22"/>
              </w:rPr>
            </w:pPr>
          </w:p>
        </w:tc>
      </w:tr>
      <w:tr w:rsidR="0024481A" w:rsidRPr="002B19EE" w:rsidTr="0072043A">
        <w:tc>
          <w:tcPr>
            <w:tcW w:w="2758" w:type="dxa"/>
            <w:vMerge w:val="restart"/>
          </w:tcPr>
          <w:p w:rsidR="0024481A" w:rsidRPr="002B19EE" w:rsidRDefault="009E2264" w:rsidP="00C57259">
            <w:pPr>
              <w:pStyle w:val="Default"/>
              <w:rPr>
                <w:color w:val="auto"/>
                <w:sz w:val="22"/>
                <w:szCs w:val="22"/>
              </w:rPr>
            </w:pPr>
            <w:r w:rsidRPr="002B19EE">
              <w:rPr>
                <w:b/>
                <w:bCs/>
                <w:sz w:val="22"/>
                <w:szCs w:val="22"/>
              </w:rPr>
              <w:lastRenderedPageBreak/>
              <w:t>Arab-Israeli Conflict 1948-1956</w:t>
            </w:r>
          </w:p>
        </w:tc>
        <w:tc>
          <w:tcPr>
            <w:tcW w:w="1774" w:type="dxa"/>
          </w:tcPr>
          <w:p w:rsidR="0024481A" w:rsidRPr="002B19EE" w:rsidRDefault="00D9481F" w:rsidP="00C57259">
            <w:pPr>
              <w:pStyle w:val="Default"/>
              <w:rPr>
                <w:color w:val="auto"/>
                <w:sz w:val="22"/>
                <w:szCs w:val="22"/>
              </w:rPr>
            </w:pPr>
            <w:r w:rsidRPr="002B19EE">
              <w:rPr>
                <w:color w:val="auto"/>
                <w:sz w:val="22"/>
                <w:szCs w:val="22"/>
              </w:rPr>
              <w:t>2</w:t>
            </w:r>
          </w:p>
        </w:tc>
        <w:tc>
          <w:tcPr>
            <w:tcW w:w="2568" w:type="dxa"/>
          </w:tcPr>
          <w:p w:rsidR="00842881" w:rsidRPr="002B19EE" w:rsidRDefault="00842881" w:rsidP="00842881">
            <w:pPr>
              <w:pStyle w:val="Pa19"/>
              <w:spacing w:after="80"/>
              <w:rPr>
                <w:rFonts w:ascii="Arial" w:hAnsi="Arial" w:cs="Arial"/>
                <w:color w:val="000000"/>
                <w:sz w:val="22"/>
                <w:szCs w:val="22"/>
              </w:rPr>
            </w:pPr>
            <w:r w:rsidRPr="002B19EE">
              <w:rPr>
                <w:rFonts w:ascii="Arial" w:hAnsi="Arial" w:cs="Arial"/>
                <w:color w:val="000000"/>
                <w:sz w:val="22"/>
                <w:szCs w:val="22"/>
              </w:rPr>
              <w:t xml:space="preserve">Arab attitudes in 1948, particularly towards the Palestinians; the creation of the state of Israel; the reasons for an attack on Israel and the First Arab-Israeli War 1948–1949; the reasons for Israel’s survival and Arab attitudes to this (perpetual war); </w:t>
            </w:r>
          </w:p>
          <w:p w:rsidR="00427D0B" w:rsidRPr="002B19EE" w:rsidRDefault="00427D0B" w:rsidP="00427D0B">
            <w:pPr>
              <w:pStyle w:val="Default"/>
              <w:rPr>
                <w:sz w:val="22"/>
                <w:szCs w:val="22"/>
              </w:rPr>
            </w:pPr>
          </w:p>
        </w:tc>
        <w:tc>
          <w:tcPr>
            <w:tcW w:w="4445" w:type="dxa"/>
          </w:tcPr>
          <w:p w:rsidR="00427D0B" w:rsidRPr="002B19EE" w:rsidRDefault="00521DA2" w:rsidP="002A698A">
            <w:pPr>
              <w:pStyle w:val="Default"/>
              <w:numPr>
                <w:ilvl w:val="0"/>
                <w:numId w:val="2"/>
              </w:numPr>
              <w:ind w:left="413"/>
              <w:rPr>
                <w:color w:val="auto"/>
                <w:sz w:val="22"/>
                <w:szCs w:val="22"/>
              </w:rPr>
            </w:pPr>
            <w:r w:rsidRPr="002B19EE">
              <w:rPr>
                <w:color w:val="auto"/>
                <w:sz w:val="22"/>
                <w:szCs w:val="22"/>
              </w:rPr>
              <w:t>Arab response to partition plans in 1947</w:t>
            </w:r>
          </w:p>
          <w:p w:rsidR="00521DA2" w:rsidRPr="002B19EE" w:rsidRDefault="00521DA2" w:rsidP="002A698A">
            <w:pPr>
              <w:pStyle w:val="Default"/>
              <w:numPr>
                <w:ilvl w:val="0"/>
                <w:numId w:val="2"/>
              </w:numPr>
              <w:ind w:left="413"/>
              <w:rPr>
                <w:color w:val="auto"/>
                <w:sz w:val="22"/>
                <w:szCs w:val="22"/>
              </w:rPr>
            </w:pPr>
            <w:r w:rsidRPr="002B19EE">
              <w:rPr>
                <w:color w:val="auto"/>
                <w:sz w:val="22"/>
                <w:szCs w:val="22"/>
              </w:rPr>
              <w:t>Civil war in Palestine 1947-48</w:t>
            </w:r>
          </w:p>
          <w:p w:rsidR="00521DA2" w:rsidRPr="002B19EE" w:rsidRDefault="00521DA2" w:rsidP="002A698A">
            <w:pPr>
              <w:pStyle w:val="Default"/>
              <w:numPr>
                <w:ilvl w:val="0"/>
                <w:numId w:val="2"/>
              </w:numPr>
              <w:ind w:left="413"/>
              <w:rPr>
                <w:color w:val="auto"/>
                <w:sz w:val="22"/>
                <w:szCs w:val="22"/>
              </w:rPr>
            </w:pPr>
            <w:proofErr w:type="spellStart"/>
            <w:r w:rsidRPr="002B19EE">
              <w:rPr>
                <w:color w:val="auto"/>
                <w:sz w:val="22"/>
                <w:szCs w:val="22"/>
              </w:rPr>
              <w:t>Deir</w:t>
            </w:r>
            <w:proofErr w:type="spellEnd"/>
            <w:r w:rsidRPr="002B19EE">
              <w:rPr>
                <w:color w:val="auto"/>
                <w:sz w:val="22"/>
                <w:szCs w:val="22"/>
              </w:rPr>
              <w:t xml:space="preserve"> Yassin</w:t>
            </w:r>
          </w:p>
          <w:p w:rsidR="00521DA2" w:rsidRPr="002B19EE" w:rsidRDefault="00521DA2" w:rsidP="002A698A">
            <w:pPr>
              <w:pStyle w:val="Default"/>
              <w:numPr>
                <w:ilvl w:val="0"/>
                <w:numId w:val="2"/>
              </w:numPr>
              <w:ind w:left="413"/>
              <w:rPr>
                <w:color w:val="auto"/>
                <w:sz w:val="22"/>
                <w:szCs w:val="22"/>
              </w:rPr>
            </w:pPr>
            <w:r w:rsidRPr="002B19EE">
              <w:rPr>
                <w:color w:val="auto"/>
                <w:sz w:val="22"/>
                <w:szCs w:val="22"/>
              </w:rPr>
              <w:t>Reasons for an attack on Israel</w:t>
            </w:r>
          </w:p>
          <w:p w:rsidR="00521DA2" w:rsidRPr="002B19EE" w:rsidRDefault="00521DA2" w:rsidP="002A698A">
            <w:pPr>
              <w:pStyle w:val="Default"/>
              <w:numPr>
                <w:ilvl w:val="0"/>
                <w:numId w:val="2"/>
              </w:numPr>
              <w:ind w:left="413"/>
              <w:rPr>
                <w:color w:val="auto"/>
                <w:sz w:val="22"/>
                <w:szCs w:val="22"/>
              </w:rPr>
            </w:pPr>
            <w:r w:rsidRPr="002B19EE">
              <w:rPr>
                <w:color w:val="auto"/>
                <w:sz w:val="22"/>
                <w:szCs w:val="22"/>
              </w:rPr>
              <w:t>Phases of fighting and outcomes</w:t>
            </w:r>
          </w:p>
          <w:p w:rsidR="00521DA2" w:rsidRPr="002B19EE" w:rsidRDefault="00521DA2" w:rsidP="002A698A">
            <w:pPr>
              <w:pStyle w:val="Default"/>
              <w:numPr>
                <w:ilvl w:val="0"/>
                <w:numId w:val="2"/>
              </w:numPr>
              <w:ind w:left="413"/>
              <w:rPr>
                <w:color w:val="auto"/>
                <w:sz w:val="22"/>
                <w:szCs w:val="22"/>
              </w:rPr>
            </w:pPr>
            <w:r w:rsidRPr="002B19EE">
              <w:rPr>
                <w:color w:val="auto"/>
                <w:sz w:val="22"/>
                <w:szCs w:val="22"/>
              </w:rPr>
              <w:t xml:space="preserve">Armistice agreements and ‘perpetual war’ </w:t>
            </w:r>
          </w:p>
        </w:tc>
        <w:tc>
          <w:tcPr>
            <w:tcW w:w="3315" w:type="dxa"/>
            <w:vMerge w:val="restart"/>
          </w:tcPr>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Access to History: The Middle East 1908-2011 </w:t>
            </w:r>
            <w:r w:rsidR="00842881" w:rsidRPr="002B19EE">
              <w:rPr>
                <w:color w:val="auto"/>
                <w:sz w:val="22"/>
                <w:szCs w:val="22"/>
              </w:rPr>
              <w:t>(second edition), Michael Scott-Baumann (Hodder)</w:t>
            </w:r>
            <w:r w:rsidR="00D117EB" w:rsidRPr="002B19EE">
              <w:rPr>
                <w:color w:val="auto"/>
                <w:sz w:val="22"/>
                <w:szCs w:val="22"/>
              </w:rPr>
              <w:t xml:space="preserve"> </w:t>
            </w:r>
            <w:r w:rsidR="00D117EB" w:rsidRPr="002B19EE">
              <w:rPr>
                <w:i/>
                <w:color w:val="auto"/>
                <w:sz w:val="22"/>
                <w:szCs w:val="22"/>
              </w:rPr>
              <w:t>also contains an excellent bibliography</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The Arab-Israeli Conflict (Seminar Studies in History), </w:t>
            </w:r>
            <w:proofErr w:type="spellStart"/>
            <w:r w:rsidR="00842881" w:rsidRPr="002B19EE">
              <w:rPr>
                <w:color w:val="auto"/>
                <w:sz w:val="22"/>
                <w:szCs w:val="22"/>
              </w:rPr>
              <w:t>Kisrten</w:t>
            </w:r>
            <w:proofErr w:type="spellEnd"/>
            <w:r w:rsidR="00842881" w:rsidRPr="002B19EE">
              <w:rPr>
                <w:color w:val="auto"/>
                <w:sz w:val="22"/>
                <w:szCs w:val="22"/>
              </w:rPr>
              <w:t xml:space="preserve"> E. Schulze</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A History of the Middle East (4th edition), </w:t>
            </w:r>
            <w:r w:rsidR="00842881" w:rsidRPr="002B19EE">
              <w:rPr>
                <w:color w:val="auto"/>
                <w:sz w:val="22"/>
                <w:szCs w:val="22"/>
              </w:rPr>
              <w:t>Peter Mansfield</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The Palestinian-Israeli Conflict: A Very Short Introduction</w:t>
            </w:r>
            <w:r w:rsidR="00842881" w:rsidRPr="002B19EE">
              <w:rPr>
                <w:color w:val="auto"/>
                <w:sz w:val="22"/>
                <w:szCs w:val="22"/>
              </w:rPr>
              <w:t>, Martin Bunton</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A Line in the Sand: Britain, France and the Struggle for Master of the Middle East</w:t>
            </w:r>
            <w:r w:rsidR="00842881" w:rsidRPr="002B19EE">
              <w:rPr>
                <w:color w:val="auto"/>
                <w:sz w:val="22"/>
                <w:szCs w:val="22"/>
              </w:rPr>
              <w:t>, James Barr</w:t>
            </w:r>
          </w:p>
          <w:p w:rsidR="00842881" w:rsidRPr="002B19EE" w:rsidRDefault="00F676C2" w:rsidP="00842881">
            <w:pPr>
              <w:pStyle w:val="Default"/>
              <w:numPr>
                <w:ilvl w:val="0"/>
                <w:numId w:val="3"/>
              </w:numPr>
              <w:ind w:left="334"/>
              <w:rPr>
                <w:color w:val="auto"/>
                <w:sz w:val="22"/>
                <w:szCs w:val="22"/>
              </w:rPr>
            </w:pPr>
            <w:r w:rsidRPr="002B19EE">
              <w:rPr>
                <w:i/>
                <w:color w:val="auto"/>
                <w:sz w:val="22"/>
                <w:szCs w:val="22"/>
              </w:rPr>
              <w:t>Cursed Victory: A History of Israeli and the Occupied Territories</w:t>
            </w:r>
            <w:r w:rsidR="00842881" w:rsidRPr="002B19EE">
              <w:rPr>
                <w:color w:val="auto"/>
                <w:sz w:val="22"/>
                <w:szCs w:val="22"/>
              </w:rPr>
              <w:t xml:space="preserve">, </w:t>
            </w:r>
            <w:proofErr w:type="spellStart"/>
            <w:r w:rsidR="00842881" w:rsidRPr="002B19EE">
              <w:rPr>
                <w:color w:val="auto"/>
                <w:sz w:val="22"/>
                <w:szCs w:val="22"/>
              </w:rPr>
              <w:t>Ahron</w:t>
            </w:r>
            <w:proofErr w:type="spellEnd"/>
            <w:r w:rsidR="00842881" w:rsidRPr="002B19EE">
              <w:rPr>
                <w:color w:val="auto"/>
                <w:sz w:val="22"/>
                <w:szCs w:val="22"/>
              </w:rPr>
              <w:t xml:space="preserve"> </w:t>
            </w:r>
            <w:proofErr w:type="spellStart"/>
            <w:r w:rsidR="00842881" w:rsidRPr="002B19EE">
              <w:rPr>
                <w:color w:val="auto"/>
                <w:sz w:val="22"/>
                <w:szCs w:val="22"/>
              </w:rPr>
              <w:t>Bregman</w:t>
            </w:r>
            <w:proofErr w:type="spellEnd"/>
          </w:p>
          <w:p w:rsidR="00BC7A86" w:rsidRPr="002B19EE" w:rsidRDefault="00F676C2" w:rsidP="00842881">
            <w:pPr>
              <w:pStyle w:val="Default"/>
              <w:numPr>
                <w:ilvl w:val="0"/>
                <w:numId w:val="3"/>
              </w:numPr>
              <w:ind w:left="334"/>
              <w:rPr>
                <w:color w:val="auto"/>
                <w:sz w:val="22"/>
                <w:szCs w:val="22"/>
              </w:rPr>
            </w:pPr>
            <w:r w:rsidRPr="002B19EE">
              <w:rPr>
                <w:i/>
                <w:color w:val="auto"/>
                <w:sz w:val="22"/>
                <w:szCs w:val="22"/>
              </w:rPr>
              <w:t xml:space="preserve">The Arabs: A History – </w:t>
            </w:r>
            <w:r w:rsidRPr="002B19EE">
              <w:rPr>
                <w:i/>
                <w:color w:val="auto"/>
                <w:sz w:val="22"/>
                <w:szCs w:val="22"/>
              </w:rPr>
              <w:lastRenderedPageBreak/>
              <w:t>Second Edition</w:t>
            </w:r>
            <w:r w:rsidR="00842881" w:rsidRPr="002B19EE">
              <w:rPr>
                <w:color w:val="auto"/>
                <w:sz w:val="22"/>
                <w:szCs w:val="22"/>
              </w:rPr>
              <w:t>, Eugene Rogan</w:t>
            </w:r>
          </w:p>
        </w:tc>
      </w:tr>
      <w:tr w:rsidR="0024481A" w:rsidRPr="002B19EE" w:rsidTr="0072043A">
        <w:tc>
          <w:tcPr>
            <w:tcW w:w="2758" w:type="dxa"/>
            <w:vMerge/>
          </w:tcPr>
          <w:p w:rsidR="0024481A" w:rsidRPr="002B19EE" w:rsidRDefault="0024481A" w:rsidP="00C57259">
            <w:pPr>
              <w:pStyle w:val="Default"/>
              <w:rPr>
                <w:color w:val="auto"/>
                <w:sz w:val="22"/>
                <w:szCs w:val="22"/>
              </w:rPr>
            </w:pPr>
          </w:p>
        </w:tc>
        <w:tc>
          <w:tcPr>
            <w:tcW w:w="1774" w:type="dxa"/>
          </w:tcPr>
          <w:p w:rsidR="0024481A" w:rsidRPr="002B19EE" w:rsidRDefault="00D9481F" w:rsidP="00C57259">
            <w:pPr>
              <w:pStyle w:val="Default"/>
              <w:rPr>
                <w:color w:val="auto"/>
                <w:sz w:val="22"/>
                <w:szCs w:val="22"/>
              </w:rPr>
            </w:pPr>
            <w:r w:rsidRPr="002B19EE">
              <w:rPr>
                <w:color w:val="auto"/>
                <w:sz w:val="22"/>
                <w:szCs w:val="22"/>
              </w:rPr>
              <w:t>2</w:t>
            </w:r>
          </w:p>
        </w:tc>
        <w:tc>
          <w:tcPr>
            <w:tcW w:w="2568" w:type="dxa"/>
          </w:tcPr>
          <w:p w:rsidR="00842881" w:rsidRPr="002B19EE" w:rsidRDefault="00842881" w:rsidP="00842881">
            <w:pPr>
              <w:pStyle w:val="Pa19"/>
              <w:spacing w:after="80"/>
              <w:rPr>
                <w:rFonts w:ascii="Arial" w:hAnsi="Arial" w:cs="Arial"/>
                <w:color w:val="000000"/>
                <w:sz w:val="22"/>
                <w:szCs w:val="22"/>
              </w:rPr>
            </w:pPr>
            <w:r w:rsidRPr="002B19EE">
              <w:rPr>
                <w:rFonts w:ascii="Arial" w:hAnsi="Arial" w:cs="Arial"/>
                <w:color w:val="000000"/>
                <w:sz w:val="22"/>
                <w:szCs w:val="22"/>
              </w:rPr>
              <w:t xml:space="preserve">the Suez Crisis of 1956, the Second Arab-Israeli War and the expansion of Israel </w:t>
            </w:r>
          </w:p>
          <w:p w:rsidR="0024481A" w:rsidRPr="002B19EE" w:rsidRDefault="0024481A" w:rsidP="00C57259">
            <w:pPr>
              <w:pStyle w:val="Pa19"/>
              <w:spacing w:after="80"/>
              <w:rPr>
                <w:rFonts w:ascii="Arial" w:hAnsi="Arial" w:cs="Arial"/>
                <w:color w:val="000000"/>
                <w:sz w:val="22"/>
                <w:szCs w:val="22"/>
              </w:rPr>
            </w:pPr>
          </w:p>
        </w:tc>
        <w:tc>
          <w:tcPr>
            <w:tcW w:w="4445" w:type="dxa"/>
          </w:tcPr>
          <w:p w:rsidR="008A3375" w:rsidRPr="002B19EE" w:rsidRDefault="00D117EB" w:rsidP="00107D4D">
            <w:pPr>
              <w:pStyle w:val="Default"/>
              <w:numPr>
                <w:ilvl w:val="0"/>
                <w:numId w:val="58"/>
              </w:numPr>
              <w:ind w:left="360"/>
              <w:rPr>
                <w:color w:val="auto"/>
                <w:sz w:val="22"/>
                <w:szCs w:val="22"/>
              </w:rPr>
            </w:pPr>
            <w:r w:rsidRPr="002B19EE">
              <w:rPr>
                <w:color w:val="auto"/>
                <w:sz w:val="22"/>
                <w:szCs w:val="22"/>
              </w:rPr>
              <w:t>Reasons for the Suez crisis inside Egypt</w:t>
            </w:r>
          </w:p>
          <w:p w:rsidR="00D117EB" w:rsidRPr="002B19EE" w:rsidRDefault="00D117EB" w:rsidP="00107D4D">
            <w:pPr>
              <w:pStyle w:val="Default"/>
              <w:numPr>
                <w:ilvl w:val="0"/>
                <w:numId w:val="58"/>
              </w:numPr>
              <w:ind w:left="360"/>
              <w:rPr>
                <w:color w:val="auto"/>
                <w:sz w:val="22"/>
                <w:szCs w:val="22"/>
              </w:rPr>
            </w:pPr>
            <w:r w:rsidRPr="002B19EE">
              <w:rPr>
                <w:color w:val="auto"/>
                <w:sz w:val="22"/>
                <w:szCs w:val="22"/>
              </w:rPr>
              <w:t>Great power actions and attitudes to Suez</w:t>
            </w:r>
          </w:p>
          <w:p w:rsidR="00D117EB" w:rsidRPr="002B19EE" w:rsidRDefault="00D117EB" w:rsidP="00107D4D">
            <w:pPr>
              <w:pStyle w:val="Default"/>
              <w:numPr>
                <w:ilvl w:val="0"/>
                <w:numId w:val="58"/>
              </w:numPr>
              <w:ind w:left="360"/>
              <w:rPr>
                <w:color w:val="auto"/>
                <w:sz w:val="22"/>
                <w:szCs w:val="22"/>
              </w:rPr>
            </w:pPr>
            <w:r w:rsidRPr="002B19EE">
              <w:rPr>
                <w:color w:val="auto"/>
                <w:sz w:val="22"/>
                <w:szCs w:val="22"/>
              </w:rPr>
              <w:t>Winners and losers after Suez</w:t>
            </w:r>
          </w:p>
          <w:p w:rsidR="00D117EB" w:rsidRPr="002B19EE" w:rsidRDefault="00D117EB" w:rsidP="00107D4D">
            <w:pPr>
              <w:pStyle w:val="Default"/>
              <w:numPr>
                <w:ilvl w:val="0"/>
                <w:numId w:val="58"/>
              </w:numPr>
              <w:ind w:left="360"/>
              <w:rPr>
                <w:color w:val="auto"/>
                <w:sz w:val="22"/>
                <w:szCs w:val="22"/>
              </w:rPr>
            </w:pPr>
            <w:r w:rsidRPr="002B19EE">
              <w:rPr>
                <w:color w:val="auto"/>
                <w:sz w:val="22"/>
                <w:szCs w:val="22"/>
              </w:rPr>
              <w:t xml:space="preserve">Reasons for the </w:t>
            </w:r>
            <w:r w:rsidR="00857EB1" w:rsidRPr="002B19EE">
              <w:rPr>
                <w:color w:val="auto"/>
                <w:sz w:val="22"/>
                <w:szCs w:val="22"/>
              </w:rPr>
              <w:t>Second</w:t>
            </w:r>
            <w:r w:rsidRPr="002B19EE">
              <w:rPr>
                <w:color w:val="auto"/>
                <w:sz w:val="22"/>
                <w:szCs w:val="22"/>
              </w:rPr>
              <w:t xml:space="preserve"> Arab-Israeli war</w:t>
            </w:r>
          </w:p>
          <w:p w:rsidR="00D117EB" w:rsidRPr="002B19EE" w:rsidRDefault="00857EB1" w:rsidP="00107D4D">
            <w:pPr>
              <w:pStyle w:val="Default"/>
              <w:numPr>
                <w:ilvl w:val="0"/>
                <w:numId w:val="58"/>
              </w:numPr>
              <w:ind w:left="360"/>
              <w:rPr>
                <w:color w:val="auto"/>
                <w:sz w:val="22"/>
                <w:szCs w:val="22"/>
              </w:rPr>
            </w:pPr>
            <w:r w:rsidRPr="002B19EE">
              <w:rPr>
                <w:color w:val="auto"/>
                <w:sz w:val="22"/>
                <w:szCs w:val="22"/>
              </w:rPr>
              <w:t>Outcome</w:t>
            </w:r>
            <w:r w:rsidR="00D117EB" w:rsidRPr="002B19EE">
              <w:rPr>
                <w:color w:val="auto"/>
                <w:sz w:val="22"/>
                <w:szCs w:val="22"/>
              </w:rPr>
              <w:t xml:space="preserve"> for Israel </w:t>
            </w:r>
          </w:p>
        </w:tc>
        <w:tc>
          <w:tcPr>
            <w:tcW w:w="3315" w:type="dxa"/>
            <w:vMerge/>
          </w:tcPr>
          <w:p w:rsidR="0024481A" w:rsidRPr="002B19EE" w:rsidRDefault="0024481A" w:rsidP="002A698A">
            <w:pPr>
              <w:pStyle w:val="Default"/>
              <w:numPr>
                <w:ilvl w:val="0"/>
                <w:numId w:val="2"/>
              </w:numPr>
              <w:ind w:left="413"/>
              <w:rPr>
                <w:color w:val="auto"/>
                <w:sz w:val="22"/>
                <w:szCs w:val="22"/>
              </w:rPr>
            </w:pPr>
          </w:p>
        </w:tc>
      </w:tr>
      <w:tr w:rsidR="0024481A" w:rsidRPr="002B19EE" w:rsidTr="0072043A">
        <w:tc>
          <w:tcPr>
            <w:tcW w:w="2758" w:type="dxa"/>
            <w:vMerge/>
          </w:tcPr>
          <w:p w:rsidR="0024481A" w:rsidRPr="002B19EE" w:rsidRDefault="0024481A" w:rsidP="00C57259">
            <w:pPr>
              <w:pStyle w:val="Default"/>
              <w:rPr>
                <w:color w:val="auto"/>
                <w:sz w:val="22"/>
                <w:szCs w:val="22"/>
              </w:rPr>
            </w:pPr>
          </w:p>
        </w:tc>
        <w:tc>
          <w:tcPr>
            <w:tcW w:w="1774" w:type="dxa"/>
          </w:tcPr>
          <w:p w:rsidR="0024481A" w:rsidRPr="002B19EE" w:rsidRDefault="00D9481F" w:rsidP="00C57259">
            <w:pPr>
              <w:pStyle w:val="Default"/>
              <w:rPr>
                <w:color w:val="auto"/>
                <w:sz w:val="22"/>
                <w:szCs w:val="22"/>
              </w:rPr>
            </w:pPr>
            <w:r w:rsidRPr="002B19EE">
              <w:rPr>
                <w:color w:val="auto"/>
                <w:sz w:val="22"/>
                <w:szCs w:val="22"/>
              </w:rPr>
              <w:t>2</w:t>
            </w:r>
          </w:p>
        </w:tc>
        <w:tc>
          <w:tcPr>
            <w:tcW w:w="2568" w:type="dxa"/>
          </w:tcPr>
          <w:p w:rsidR="00842881" w:rsidRPr="002B19EE" w:rsidRDefault="00842881" w:rsidP="00842881">
            <w:pPr>
              <w:pStyle w:val="Pa19"/>
              <w:spacing w:after="80"/>
              <w:rPr>
                <w:rFonts w:ascii="Arial" w:hAnsi="Arial" w:cs="Arial"/>
                <w:color w:val="000000"/>
                <w:sz w:val="22"/>
                <w:szCs w:val="22"/>
              </w:rPr>
            </w:pPr>
            <w:r w:rsidRPr="002B19EE">
              <w:rPr>
                <w:rFonts w:ascii="Arial" w:hAnsi="Arial" w:cs="Arial"/>
                <w:color w:val="000000"/>
                <w:sz w:val="22"/>
                <w:szCs w:val="22"/>
              </w:rPr>
              <w:t xml:space="preserve">the reasons for Israel’s </w:t>
            </w:r>
            <w:r w:rsidRPr="002B19EE">
              <w:rPr>
                <w:rFonts w:ascii="Arial" w:hAnsi="Arial" w:cs="Arial"/>
                <w:color w:val="000000"/>
                <w:sz w:val="22"/>
                <w:szCs w:val="22"/>
              </w:rPr>
              <w:lastRenderedPageBreak/>
              <w:t xml:space="preserve">success and the impact on the Palestinians (refugees) and the Arab World, especially Egypt, Syria, Jordan and the Lebanon. </w:t>
            </w:r>
          </w:p>
          <w:p w:rsidR="0024481A" w:rsidRPr="002B19EE" w:rsidRDefault="0024481A" w:rsidP="00C57259"/>
        </w:tc>
        <w:tc>
          <w:tcPr>
            <w:tcW w:w="4445" w:type="dxa"/>
          </w:tcPr>
          <w:p w:rsidR="008A3375" w:rsidRPr="002B19EE" w:rsidRDefault="00D117EB" w:rsidP="00274FEB">
            <w:pPr>
              <w:pStyle w:val="Default"/>
              <w:numPr>
                <w:ilvl w:val="0"/>
                <w:numId w:val="2"/>
              </w:numPr>
              <w:ind w:left="413"/>
              <w:rPr>
                <w:color w:val="auto"/>
                <w:sz w:val="22"/>
                <w:szCs w:val="22"/>
              </w:rPr>
            </w:pPr>
            <w:r w:rsidRPr="002B19EE">
              <w:rPr>
                <w:color w:val="auto"/>
                <w:sz w:val="22"/>
                <w:szCs w:val="22"/>
              </w:rPr>
              <w:lastRenderedPageBreak/>
              <w:t xml:space="preserve">Different and similar reasons for Israeli </w:t>
            </w:r>
            <w:r w:rsidRPr="002B19EE">
              <w:rPr>
                <w:color w:val="auto"/>
                <w:sz w:val="22"/>
                <w:szCs w:val="22"/>
              </w:rPr>
              <w:lastRenderedPageBreak/>
              <w:t>defeating Egypt, Syria and Jordan</w:t>
            </w:r>
          </w:p>
          <w:p w:rsidR="00D117EB" w:rsidRPr="002B19EE" w:rsidRDefault="00D117EB" w:rsidP="00274FEB">
            <w:pPr>
              <w:pStyle w:val="Default"/>
              <w:numPr>
                <w:ilvl w:val="0"/>
                <w:numId w:val="2"/>
              </w:numPr>
              <w:ind w:left="413"/>
              <w:rPr>
                <w:color w:val="auto"/>
                <w:sz w:val="22"/>
                <w:szCs w:val="22"/>
              </w:rPr>
            </w:pPr>
            <w:r w:rsidRPr="002B19EE">
              <w:rPr>
                <w:color w:val="auto"/>
                <w:sz w:val="22"/>
                <w:szCs w:val="22"/>
              </w:rPr>
              <w:t>Impact on the Palestinians e.g. UN Resolution 242</w:t>
            </w:r>
          </w:p>
          <w:p w:rsidR="00D117EB" w:rsidRPr="002B19EE" w:rsidRDefault="00D117EB" w:rsidP="00274FEB">
            <w:pPr>
              <w:pStyle w:val="Default"/>
              <w:numPr>
                <w:ilvl w:val="0"/>
                <w:numId w:val="2"/>
              </w:numPr>
              <w:ind w:left="413"/>
              <w:rPr>
                <w:color w:val="auto"/>
                <w:sz w:val="22"/>
                <w:szCs w:val="22"/>
              </w:rPr>
            </w:pPr>
            <w:r w:rsidRPr="002B19EE">
              <w:rPr>
                <w:color w:val="auto"/>
                <w:sz w:val="22"/>
                <w:szCs w:val="22"/>
              </w:rPr>
              <w:t>Wider impact in the Middle East</w:t>
            </w:r>
          </w:p>
        </w:tc>
        <w:tc>
          <w:tcPr>
            <w:tcW w:w="3315" w:type="dxa"/>
            <w:vMerge/>
          </w:tcPr>
          <w:p w:rsidR="0024481A" w:rsidRPr="002B19EE" w:rsidRDefault="0024481A" w:rsidP="002A698A">
            <w:pPr>
              <w:pStyle w:val="Default"/>
              <w:numPr>
                <w:ilvl w:val="0"/>
                <w:numId w:val="2"/>
              </w:numPr>
              <w:ind w:left="413"/>
              <w:rPr>
                <w:color w:val="auto"/>
                <w:sz w:val="22"/>
                <w:szCs w:val="22"/>
              </w:rPr>
            </w:pPr>
          </w:p>
        </w:tc>
      </w:tr>
      <w:tr w:rsidR="0024481A" w:rsidRPr="002B19EE" w:rsidTr="0072043A">
        <w:tc>
          <w:tcPr>
            <w:tcW w:w="2758" w:type="dxa"/>
            <w:vMerge w:val="restart"/>
          </w:tcPr>
          <w:p w:rsidR="0024481A" w:rsidRPr="002B19EE" w:rsidRDefault="009E2264" w:rsidP="002134B4">
            <w:pPr>
              <w:pStyle w:val="Default"/>
              <w:rPr>
                <w:color w:val="auto"/>
                <w:sz w:val="22"/>
                <w:szCs w:val="22"/>
              </w:rPr>
            </w:pPr>
            <w:r w:rsidRPr="002B19EE">
              <w:rPr>
                <w:b/>
                <w:bCs/>
                <w:sz w:val="22"/>
                <w:szCs w:val="22"/>
              </w:rPr>
              <w:lastRenderedPageBreak/>
              <w:t>Nasserism 1952-1970</w:t>
            </w:r>
          </w:p>
        </w:tc>
        <w:tc>
          <w:tcPr>
            <w:tcW w:w="1774" w:type="dxa"/>
          </w:tcPr>
          <w:p w:rsidR="0024481A" w:rsidRPr="002B19EE" w:rsidRDefault="00D9481F" w:rsidP="00C57259">
            <w:pPr>
              <w:pStyle w:val="Default"/>
              <w:rPr>
                <w:color w:val="auto"/>
                <w:sz w:val="22"/>
                <w:szCs w:val="22"/>
              </w:rPr>
            </w:pPr>
            <w:r w:rsidRPr="002B19EE">
              <w:rPr>
                <w:color w:val="auto"/>
                <w:sz w:val="22"/>
                <w:szCs w:val="22"/>
              </w:rPr>
              <w:t>2</w:t>
            </w:r>
          </w:p>
        </w:tc>
        <w:tc>
          <w:tcPr>
            <w:tcW w:w="2568" w:type="dxa"/>
          </w:tcPr>
          <w:p w:rsidR="00842881" w:rsidRPr="002B19EE" w:rsidRDefault="00842881" w:rsidP="00842881">
            <w:pPr>
              <w:pStyle w:val="Pa19"/>
              <w:spacing w:after="80"/>
              <w:rPr>
                <w:rFonts w:ascii="Arial" w:hAnsi="Arial" w:cs="Arial"/>
                <w:color w:val="000000"/>
                <w:sz w:val="22"/>
                <w:szCs w:val="22"/>
              </w:rPr>
            </w:pPr>
            <w:r w:rsidRPr="002B19EE">
              <w:rPr>
                <w:rFonts w:ascii="Arial" w:hAnsi="Arial" w:cs="Arial"/>
                <w:color w:val="000000"/>
                <w:sz w:val="22"/>
                <w:szCs w:val="22"/>
              </w:rPr>
              <w:t xml:space="preserve">Nasser and Pan Arabism; Arab Socialism (nationalisation of industry and finance, land reform and development from above) </w:t>
            </w:r>
          </w:p>
          <w:p w:rsidR="0024481A" w:rsidRPr="002B19EE" w:rsidRDefault="0024481A" w:rsidP="00C57259">
            <w:pPr>
              <w:pStyle w:val="Pa19"/>
              <w:spacing w:after="80"/>
              <w:rPr>
                <w:rFonts w:ascii="Arial" w:hAnsi="Arial" w:cs="Arial"/>
                <w:color w:val="000000"/>
                <w:sz w:val="22"/>
                <w:szCs w:val="22"/>
              </w:rPr>
            </w:pPr>
          </w:p>
        </w:tc>
        <w:tc>
          <w:tcPr>
            <w:tcW w:w="4445" w:type="dxa"/>
          </w:tcPr>
          <w:p w:rsidR="00120085" w:rsidRPr="002B19EE" w:rsidRDefault="00D117EB" w:rsidP="005A7672">
            <w:pPr>
              <w:pStyle w:val="Default"/>
              <w:numPr>
                <w:ilvl w:val="0"/>
                <w:numId w:val="2"/>
              </w:numPr>
              <w:ind w:left="413"/>
              <w:rPr>
                <w:color w:val="auto"/>
                <w:sz w:val="22"/>
                <w:szCs w:val="22"/>
              </w:rPr>
            </w:pPr>
            <w:r w:rsidRPr="002B19EE">
              <w:rPr>
                <w:color w:val="auto"/>
                <w:sz w:val="22"/>
                <w:szCs w:val="22"/>
              </w:rPr>
              <w:t xml:space="preserve">Nasser’s background, beliefs and </w:t>
            </w:r>
            <w:r w:rsidR="001A3E41" w:rsidRPr="002B19EE">
              <w:rPr>
                <w:color w:val="auto"/>
                <w:sz w:val="22"/>
                <w:szCs w:val="22"/>
              </w:rPr>
              <w:t>career</w:t>
            </w:r>
            <w:r w:rsidRPr="002B19EE">
              <w:rPr>
                <w:color w:val="auto"/>
                <w:sz w:val="22"/>
                <w:szCs w:val="22"/>
              </w:rPr>
              <w:t xml:space="preserve"> to 1952</w:t>
            </w:r>
          </w:p>
          <w:p w:rsidR="00D117EB" w:rsidRPr="002B19EE" w:rsidRDefault="00D117EB" w:rsidP="005A7672">
            <w:pPr>
              <w:pStyle w:val="Default"/>
              <w:numPr>
                <w:ilvl w:val="0"/>
                <w:numId w:val="2"/>
              </w:numPr>
              <w:ind w:left="413"/>
              <w:rPr>
                <w:color w:val="auto"/>
                <w:sz w:val="22"/>
                <w:szCs w:val="22"/>
              </w:rPr>
            </w:pPr>
            <w:r w:rsidRPr="002B19EE">
              <w:rPr>
                <w:color w:val="auto"/>
                <w:sz w:val="22"/>
                <w:szCs w:val="22"/>
              </w:rPr>
              <w:t>Origins and growth of Pan Arabism</w:t>
            </w:r>
          </w:p>
          <w:p w:rsidR="00D117EB" w:rsidRPr="002B19EE" w:rsidRDefault="001A3E41" w:rsidP="005A7672">
            <w:pPr>
              <w:pStyle w:val="Default"/>
              <w:numPr>
                <w:ilvl w:val="0"/>
                <w:numId w:val="2"/>
              </w:numPr>
              <w:ind w:left="413"/>
              <w:rPr>
                <w:color w:val="auto"/>
                <w:sz w:val="22"/>
                <w:szCs w:val="22"/>
              </w:rPr>
            </w:pPr>
            <w:r w:rsidRPr="002B19EE">
              <w:rPr>
                <w:color w:val="auto"/>
                <w:sz w:val="22"/>
                <w:szCs w:val="22"/>
              </w:rPr>
              <w:t>The Egyptian Revolution and the Baghdad Pact</w:t>
            </w:r>
          </w:p>
          <w:p w:rsidR="001A3E41" w:rsidRPr="002B19EE" w:rsidRDefault="001A3E41" w:rsidP="005A7672">
            <w:pPr>
              <w:pStyle w:val="Default"/>
              <w:numPr>
                <w:ilvl w:val="0"/>
                <w:numId w:val="2"/>
              </w:numPr>
              <w:ind w:left="413"/>
              <w:rPr>
                <w:color w:val="auto"/>
                <w:sz w:val="22"/>
                <w:szCs w:val="22"/>
              </w:rPr>
            </w:pPr>
            <w:r w:rsidRPr="002B19EE">
              <w:rPr>
                <w:color w:val="auto"/>
                <w:sz w:val="22"/>
                <w:szCs w:val="22"/>
              </w:rPr>
              <w:t>‘Voice of the Arabs’</w:t>
            </w:r>
          </w:p>
          <w:p w:rsidR="001A3E41" w:rsidRPr="002B19EE" w:rsidRDefault="001A3E41" w:rsidP="005A7672">
            <w:pPr>
              <w:pStyle w:val="Default"/>
              <w:numPr>
                <w:ilvl w:val="0"/>
                <w:numId w:val="2"/>
              </w:numPr>
              <w:ind w:left="413"/>
              <w:rPr>
                <w:color w:val="auto"/>
                <w:sz w:val="22"/>
                <w:szCs w:val="22"/>
              </w:rPr>
            </w:pPr>
            <w:r w:rsidRPr="002B19EE">
              <w:rPr>
                <w:color w:val="auto"/>
                <w:sz w:val="22"/>
                <w:szCs w:val="22"/>
              </w:rPr>
              <w:t>Key characteristics of Arab socialism – how effective was it?</w:t>
            </w:r>
          </w:p>
        </w:tc>
        <w:tc>
          <w:tcPr>
            <w:tcW w:w="3315" w:type="dxa"/>
            <w:vMerge w:val="restart"/>
          </w:tcPr>
          <w:p w:rsidR="00842881" w:rsidRPr="002B19EE" w:rsidRDefault="00842881" w:rsidP="00842881">
            <w:pPr>
              <w:pStyle w:val="Default"/>
              <w:rPr>
                <w:color w:val="auto"/>
                <w:sz w:val="22"/>
                <w:szCs w:val="22"/>
              </w:rPr>
            </w:pPr>
            <w:r w:rsidRPr="002B19EE">
              <w:rPr>
                <w:color w:val="auto"/>
                <w:sz w:val="22"/>
                <w:szCs w:val="22"/>
              </w:rPr>
              <w:t>For students:</w:t>
            </w:r>
          </w:p>
          <w:p w:rsidR="00842881" w:rsidRPr="002B19EE" w:rsidRDefault="00F676C2" w:rsidP="00842881">
            <w:pPr>
              <w:pStyle w:val="Default"/>
              <w:numPr>
                <w:ilvl w:val="0"/>
                <w:numId w:val="2"/>
              </w:numPr>
              <w:rPr>
                <w:color w:val="auto"/>
                <w:sz w:val="22"/>
                <w:szCs w:val="22"/>
              </w:rPr>
            </w:pPr>
            <w:r w:rsidRPr="002B19EE">
              <w:rPr>
                <w:i/>
                <w:color w:val="auto"/>
                <w:sz w:val="22"/>
                <w:szCs w:val="22"/>
              </w:rPr>
              <w:t xml:space="preserve">Access to History: The Middle East 1908-2011 </w:t>
            </w:r>
            <w:r w:rsidR="00842881" w:rsidRPr="002B19EE">
              <w:rPr>
                <w:color w:val="auto"/>
                <w:sz w:val="22"/>
                <w:szCs w:val="22"/>
              </w:rPr>
              <w:t>(second edition), Michael Scott-Baumann (Hodder)</w:t>
            </w:r>
            <w:r w:rsidR="00D117EB" w:rsidRPr="002B19EE">
              <w:rPr>
                <w:color w:val="auto"/>
                <w:sz w:val="22"/>
                <w:szCs w:val="22"/>
              </w:rPr>
              <w:t xml:space="preserve"> </w:t>
            </w:r>
            <w:r w:rsidR="00D117EB" w:rsidRPr="002B19EE">
              <w:rPr>
                <w:i/>
                <w:color w:val="auto"/>
                <w:sz w:val="22"/>
                <w:szCs w:val="22"/>
              </w:rPr>
              <w:t>also contains an excellent bibliography</w:t>
            </w:r>
          </w:p>
          <w:p w:rsidR="00842881" w:rsidRPr="002B19EE" w:rsidRDefault="00F676C2" w:rsidP="00842881">
            <w:pPr>
              <w:pStyle w:val="Default"/>
              <w:numPr>
                <w:ilvl w:val="0"/>
                <w:numId w:val="2"/>
              </w:numPr>
              <w:rPr>
                <w:color w:val="auto"/>
                <w:sz w:val="22"/>
                <w:szCs w:val="22"/>
              </w:rPr>
            </w:pPr>
            <w:r w:rsidRPr="002B19EE">
              <w:rPr>
                <w:i/>
                <w:color w:val="auto"/>
                <w:sz w:val="22"/>
                <w:szCs w:val="22"/>
              </w:rPr>
              <w:t xml:space="preserve">The Arab-Israeli Conflict (Seminar Studies in History), </w:t>
            </w:r>
            <w:proofErr w:type="spellStart"/>
            <w:r w:rsidR="00842881" w:rsidRPr="002B19EE">
              <w:rPr>
                <w:color w:val="auto"/>
                <w:sz w:val="22"/>
                <w:szCs w:val="22"/>
              </w:rPr>
              <w:t>Kisrten</w:t>
            </w:r>
            <w:proofErr w:type="spellEnd"/>
            <w:r w:rsidR="00842881" w:rsidRPr="002B19EE">
              <w:rPr>
                <w:color w:val="auto"/>
                <w:sz w:val="22"/>
                <w:szCs w:val="22"/>
              </w:rPr>
              <w:t xml:space="preserve"> E. Schulze</w:t>
            </w:r>
          </w:p>
          <w:p w:rsidR="00842881" w:rsidRPr="002B19EE" w:rsidRDefault="00842881" w:rsidP="00842881">
            <w:pPr>
              <w:pStyle w:val="Default"/>
              <w:rPr>
                <w:color w:val="auto"/>
                <w:sz w:val="22"/>
                <w:szCs w:val="22"/>
              </w:rPr>
            </w:pPr>
            <w:r w:rsidRPr="002B19EE">
              <w:rPr>
                <w:color w:val="auto"/>
                <w:sz w:val="22"/>
                <w:szCs w:val="22"/>
              </w:rPr>
              <w:t>For teachers:</w:t>
            </w:r>
          </w:p>
          <w:p w:rsidR="00842881" w:rsidRPr="002B19EE" w:rsidRDefault="00F676C2" w:rsidP="00842881">
            <w:pPr>
              <w:pStyle w:val="Default"/>
              <w:numPr>
                <w:ilvl w:val="0"/>
                <w:numId w:val="2"/>
              </w:numPr>
              <w:rPr>
                <w:color w:val="auto"/>
                <w:sz w:val="22"/>
                <w:szCs w:val="22"/>
              </w:rPr>
            </w:pPr>
            <w:r w:rsidRPr="002B19EE">
              <w:rPr>
                <w:i/>
                <w:color w:val="auto"/>
                <w:sz w:val="22"/>
                <w:szCs w:val="22"/>
              </w:rPr>
              <w:t xml:space="preserve">A History of the Middle East (4th edition), </w:t>
            </w:r>
            <w:r w:rsidR="00842881" w:rsidRPr="002B19EE">
              <w:rPr>
                <w:color w:val="auto"/>
                <w:sz w:val="22"/>
                <w:szCs w:val="22"/>
              </w:rPr>
              <w:t>Peter Mansfield</w:t>
            </w:r>
          </w:p>
          <w:p w:rsidR="00842881" w:rsidRPr="002B19EE" w:rsidRDefault="00F676C2" w:rsidP="00842881">
            <w:pPr>
              <w:pStyle w:val="Default"/>
              <w:numPr>
                <w:ilvl w:val="0"/>
                <w:numId w:val="2"/>
              </w:numPr>
              <w:rPr>
                <w:color w:val="auto"/>
                <w:sz w:val="22"/>
                <w:szCs w:val="22"/>
              </w:rPr>
            </w:pPr>
            <w:r w:rsidRPr="002B19EE">
              <w:rPr>
                <w:i/>
                <w:color w:val="auto"/>
                <w:sz w:val="22"/>
                <w:szCs w:val="22"/>
              </w:rPr>
              <w:t>The Palestinian-Israeli Conflict: A Very Short Introduction</w:t>
            </w:r>
            <w:r w:rsidR="00842881" w:rsidRPr="002B19EE">
              <w:rPr>
                <w:color w:val="auto"/>
                <w:sz w:val="22"/>
                <w:szCs w:val="22"/>
              </w:rPr>
              <w:t>, Martin Bunton</w:t>
            </w:r>
          </w:p>
          <w:p w:rsidR="00842881" w:rsidRPr="002B19EE" w:rsidRDefault="00F676C2" w:rsidP="00842881">
            <w:pPr>
              <w:pStyle w:val="Default"/>
              <w:numPr>
                <w:ilvl w:val="0"/>
                <w:numId w:val="2"/>
              </w:numPr>
              <w:rPr>
                <w:color w:val="auto"/>
                <w:sz w:val="22"/>
                <w:szCs w:val="22"/>
              </w:rPr>
            </w:pPr>
            <w:r w:rsidRPr="002B19EE">
              <w:rPr>
                <w:i/>
                <w:color w:val="auto"/>
                <w:sz w:val="22"/>
                <w:szCs w:val="22"/>
              </w:rPr>
              <w:t>A Line in the Sand: Britain, France and the Struggle for Master of the Middle East</w:t>
            </w:r>
            <w:r w:rsidR="00842881" w:rsidRPr="002B19EE">
              <w:rPr>
                <w:color w:val="auto"/>
                <w:sz w:val="22"/>
                <w:szCs w:val="22"/>
              </w:rPr>
              <w:t xml:space="preserve">, James </w:t>
            </w:r>
            <w:r w:rsidR="00842881" w:rsidRPr="002B19EE">
              <w:rPr>
                <w:color w:val="auto"/>
                <w:sz w:val="22"/>
                <w:szCs w:val="22"/>
              </w:rPr>
              <w:lastRenderedPageBreak/>
              <w:t>Barr</w:t>
            </w:r>
          </w:p>
          <w:p w:rsidR="00842881" w:rsidRPr="002B19EE" w:rsidRDefault="00F676C2" w:rsidP="00842881">
            <w:pPr>
              <w:pStyle w:val="Default"/>
              <w:numPr>
                <w:ilvl w:val="0"/>
                <w:numId w:val="2"/>
              </w:numPr>
              <w:rPr>
                <w:color w:val="auto"/>
                <w:sz w:val="22"/>
                <w:szCs w:val="22"/>
              </w:rPr>
            </w:pPr>
            <w:r w:rsidRPr="002B19EE">
              <w:rPr>
                <w:i/>
                <w:color w:val="auto"/>
                <w:sz w:val="22"/>
                <w:szCs w:val="22"/>
              </w:rPr>
              <w:t>Cursed Victory: A History of Israeli and the Occupied Territories</w:t>
            </w:r>
            <w:r w:rsidR="00842881" w:rsidRPr="002B19EE">
              <w:rPr>
                <w:color w:val="auto"/>
                <w:sz w:val="22"/>
                <w:szCs w:val="22"/>
              </w:rPr>
              <w:t xml:space="preserve">, </w:t>
            </w:r>
            <w:proofErr w:type="spellStart"/>
            <w:r w:rsidR="00842881" w:rsidRPr="002B19EE">
              <w:rPr>
                <w:color w:val="auto"/>
                <w:sz w:val="22"/>
                <w:szCs w:val="22"/>
              </w:rPr>
              <w:t>Ahron</w:t>
            </w:r>
            <w:proofErr w:type="spellEnd"/>
            <w:r w:rsidR="00842881" w:rsidRPr="002B19EE">
              <w:rPr>
                <w:color w:val="auto"/>
                <w:sz w:val="22"/>
                <w:szCs w:val="22"/>
              </w:rPr>
              <w:t xml:space="preserve"> </w:t>
            </w:r>
            <w:proofErr w:type="spellStart"/>
            <w:r w:rsidR="00842881" w:rsidRPr="002B19EE">
              <w:rPr>
                <w:color w:val="auto"/>
                <w:sz w:val="22"/>
                <w:szCs w:val="22"/>
              </w:rPr>
              <w:t>Bregman</w:t>
            </w:r>
            <w:proofErr w:type="spellEnd"/>
          </w:p>
          <w:p w:rsidR="0024481A" w:rsidRPr="002B19EE" w:rsidRDefault="00F676C2" w:rsidP="00842881">
            <w:pPr>
              <w:pStyle w:val="Default"/>
              <w:numPr>
                <w:ilvl w:val="0"/>
                <w:numId w:val="2"/>
              </w:numPr>
              <w:rPr>
                <w:color w:val="auto"/>
                <w:sz w:val="22"/>
                <w:szCs w:val="22"/>
              </w:rPr>
            </w:pPr>
            <w:r w:rsidRPr="002B19EE">
              <w:rPr>
                <w:i/>
                <w:color w:val="auto"/>
                <w:sz w:val="22"/>
                <w:szCs w:val="22"/>
              </w:rPr>
              <w:t>The Arabs: A History – Second Edition</w:t>
            </w:r>
            <w:r w:rsidR="00842881" w:rsidRPr="002B19EE">
              <w:rPr>
                <w:color w:val="auto"/>
                <w:sz w:val="22"/>
                <w:szCs w:val="22"/>
              </w:rPr>
              <w:t>, Eugene Rogan</w:t>
            </w:r>
          </w:p>
        </w:tc>
      </w:tr>
      <w:tr w:rsidR="0024481A" w:rsidRPr="002B19EE" w:rsidTr="0072043A">
        <w:tc>
          <w:tcPr>
            <w:tcW w:w="2758" w:type="dxa"/>
            <w:vMerge/>
          </w:tcPr>
          <w:p w:rsidR="0024481A" w:rsidRPr="002B19EE" w:rsidRDefault="0024481A" w:rsidP="002134B4">
            <w:pPr>
              <w:pStyle w:val="Default"/>
              <w:rPr>
                <w:b/>
                <w:bCs/>
                <w:sz w:val="22"/>
                <w:szCs w:val="22"/>
              </w:rPr>
            </w:pPr>
          </w:p>
        </w:tc>
        <w:tc>
          <w:tcPr>
            <w:tcW w:w="1774" w:type="dxa"/>
          </w:tcPr>
          <w:p w:rsidR="0024481A" w:rsidRPr="002B19EE" w:rsidRDefault="00D9481F" w:rsidP="00C57259">
            <w:pPr>
              <w:pStyle w:val="Default"/>
              <w:rPr>
                <w:color w:val="auto"/>
                <w:sz w:val="22"/>
                <w:szCs w:val="22"/>
              </w:rPr>
            </w:pPr>
            <w:r w:rsidRPr="002B19EE">
              <w:rPr>
                <w:color w:val="auto"/>
                <w:sz w:val="22"/>
                <w:szCs w:val="22"/>
              </w:rPr>
              <w:t>2</w:t>
            </w:r>
          </w:p>
        </w:tc>
        <w:tc>
          <w:tcPr>
            <w:tcW w:w="2568" w:type="dxa"/>
          </w:tcPr>
          <w:p w:rsidR="002852DF" w:rsidRPr="002B19EE" w:rsidRDefault="002852DF" w:rsidP="00A50454">
            <w:pPr>
              <w:pStyle w:val="Default"/>
              <w:rPr>
                <w:sz w:val="22"/>
                <w:szCs w:val="22"/>
              </w:rPr>
            </w:pPr>
          </w:p>
          <w:p w:rsidR="00842881" w:rsidRPr="002B19EE" w:rsidRDefault="00842881" w:rsidP="00842881">
            <w:pPr>
              <w:pStyle w:val="Pa19"/>
              <w:spacing w:after="80"/>
              <w:rPr>
                <w:rFonts w:ascii="Arial" w:hAnsi="Arial" w:cs="Arial"/>
                <w:color w:val="000000"/>
                <w:sz w:val="22"/>
                <w:szCs w:val="22"/>
              </w:rPr>
            </w:pPr>
            <w:r w:rsidRPr="002B19EE">
              <w:rPr>
                <w:rFonts w:ascii="Arial" w:hAnsi="Arial" w:cs="Arial"/>
                <w:color w:val="000000"/>
                <w:sz w:val="22"/>
                <w:szCs w:val="22"/>
              </w:rPr>
              <w:t xml:space="preserve">relations with Britain, France, the US and the USSR; the Suez Crisis 1956; regional rivalry and the Arab Cold War 1956–1963 (Egypt, Iraq and the creation of the United Arab Republic) </w:t>
            </w:r>
          </w:p>
          <w:p w:rsidR="002852DF" w:rsidRPr="002B19EE" w:rsidRDefault="002852DF" w:rsidP="00A50454">
            <w:pPr>
              <w:pStyle w:val="Default"/>
              <w:rPr>
                <w:sz w:val="22"/>
                <w:szCs w:val="22"/>
              </w:rPr>
            </w:pPr>
          </w:p>
        </w:tc>
        <w:tc>
          <w:tcPr>
            <w:tcW w:w="4445" w:type="dxa"/>
          </w:tcPr>
          <w:p w:rsidR="005F70F6" w:rsidRPr="002B19EE" w:rsidRDefault="001A3E41" w:rsidP="00A3324E">
            <w:pPr>
              <w:pStyle w:val="Default"/>
              <w:numPr>
                <w:ilvl w:val="0"/>
                <w:numId w:val="2"/>
              </w:numPr>
              <w:ind w:left="413"/>
              <w:rPr>
                <w:color w:val="auto"/>
                <w:sz w:val="22"/>
                <w:szCs w:val="22"/>
              </w:rPr>
            </w:pPr>
            <w:r w:rsidRPr="002B19EE">
              <w:rPr>
                <w:color w:val="auto"/>
                <w:sz w:val="22"/>
                <w:szCs w:val="22"/>
              </w:rPr>
              <w:t>Nasser’s relations with Britain, France and the USA and how they changed after 1956</w:t>
            </w:r>
          </w:p>
          <w:p w:rsidR="001A3E41" w:rsidRPr="002B19EE" w:rsidRDefault="001A3E41" w:rsidP="00A3324E">
            <w:pPr>
              <w:pStyle w:val="Default"/>
              <w:numPr>
                <w:ilvl w:val="0"/>
                <w:numId w:val="2"/>
              </w:numPr>
              <w:ind w:left="413"/>
              <w:rPr>
                <w:color w:val="auto"/>
                <w:sz w:val="22"/>
                <w:szCs w:val="22"/>
              </w:rPr>
            </w:pPr>
            <w:r w:rsidRPr="002B19EE">
              <w:rPr>
                <w:color w:val="auto"/>
                <w:sz w:val="22"/>
                <w:szCs w:val="22"/>
              </w:rPr>
              <w:t>Relations with the USSR</w:t>
            </w:r>
          </w:p>
          <w:p w:rsidR="001A3E41" w:rsidRPr="002B19EE" w:rsidRDefault="001A3E41" w:rsidP="00A3324E">
            <w:pPr>
              <w:pStyle w:val="Default"/>
              <w:numPr>
                <w:ilvl w:val="0"/>
                <w:numId w:val="2"/>
              </w:numPr>
              <w:ind w:left="413"/>
              <w:rPr>
                <w:color w:val="auto"/>
                <w:sz w:val="22"/>
                <w:szCs w:val="22"/>
              </w:rPr>
            </w:pPr>
            <w:r w:rsidRPr="002B19EE">
              <w:rPr>
                <w:color w:val="auto"/>
                <w:sz w:val="22"/>
                <w:szCs w:val="22"/>
              </w:rPr>
              <w:t>Czech arms deal</w:t>
            </w:r>
          </w:p>
          <w:p w:rsidR="001A3E41" w:rsidRPr="002B19EE" w:rsidRDefault="00857EB1" w:rsidP="00A3324E">
            <w:pPr>
              <w:pStyle w:val="Default"/>
              <w:numPr>
                <w:ilvl w:val="0"/>
                <w:numId w:val="2"/>
              </w:numPr>
              <w:ind w:left="413"/>
              <w:rPr>
                <w:color w:val="auto"/>
                <w:sz w:val="22"/>
                <w:szCs w:val="22"/>
              </w:rPr>
            </w:pPr>
            <w:r w:rsidRPr="002B19EE">
              <w:rPr>
                <w:color w:val="auto"/>
                <w:sz w:val="22"/>
                <w:szCs w:val="22"/>
              </w:rPr>
              <w:t>Divisions</w:t>
            </w:r>
            <w:r w:rsidR="001A3E41" w:rsidRPr="002B19EE">
              <w:rPr>
                <w:color w:val="auto"/>
                <w:sz w:val="22"/>
                <w:szCs w:val="22"/>
              </w:rPr>
              <w:t xml:space="preserve"> within the Arab world and Nasser’s motives 1956-63</w:t>
            </w:r>
          </w:p>
          <w:p w:rsidR="001A3E41" w:rsidRPr="002B19EE" w:rsidRDefault="001A3E41" w:rsidP="00A3324E">
            <w:pPr>
              <w:pStyle w:val="Default"/>
              <w:numPr>
                <w:ilvl w:val="0"/>
                <w:numId w:val="2"/>
              </w:numPr>
              <w:ind w:left="413"/>
              <w:rPr>
                <w:color w:val="auto"/>
                <w:sz w:val="22"/>
                <w:szCs w:val="22"/>
              </w:rPr>
            </w:pPr>
            <w:r w:rsidRPr="002B19EE">
              <w:rPr>
                <w:color w:val="auto"/>
                <w:sz w:val="22"/>
                <w:szCs w:val="22"/>
              </w:rPr>
              <w:t>Reasons for creation of, and failure of, UAR</w:t>
            </w:r>
          </w:p>
        </w:tc>
        <w:tc>
          <w:tcPr>
            <w:tcW w:w="3315" w:type="dxa"/>
            <w:vMerge/>
          </w:tcPr>
          <w:p w:rsidR="0024481A" w:rsidRPr="002B19EE" w:rsidRDefault="0024481A" w:rsidP="002A698A">
            <w:pPr>
              <w:pStyle w:val="Default"/>
              <w:numPr>
                <w:ilvl w:val="0"/>
                <w:numId w:val="2"/>
              </w:numPr>
              <w:ind w:left="413"/>
              <w:rPr>
                <w:color w:val="auto"/>
                <w:sz w:val="22"/>
                <w:szCs w:val="22"/>
              </w:rPr>
            </w:pPr>
          </w:p>
        </w:tc>
      </w:tr>
      <w:tr w:rsidR="0024481A" w:rsidRPr="002B19EE" w:rsidTr="0072043A">
        <w:tc>
          <w:tcPr>
            <w:tcW w:w="2758" w:type="dxa"/>
            <w:vMerge/>
          </w:tcPr>
          <w:p w:rsidR="0024481A" w:rsidRPr="002B19EE" w:rsidRDefault="0024481A" w:rsidP="002134B4">
            <w:pPr>
              <w:pStyle w:val="Default"/>
              <w:rPr>
                <w:b/>
                <w:bCs/>
                <w:sz w:val="22"/>
                <w:szCs w:val="22"/>
              </w:rPr>
            </w:pPr>
          </w:p>
        </w:tc>
        <w:tc>
          <w:tcPr>
            <w:tcW w:w="1774" w:type="dxa"/>
          </w:tcPr>
          <w:p w:rsidR="0024481A" w:rsidRPr="002B19EE" w:rsidRDefault="00D9481F" w:rsidP="00C57259">
            <w:pPr>
              <w:pStyle w:val="Default"/>
              <w:rPr>
                <w:color w:val="auto"/>
                <w:sz w:val="22"/>
                <w:szCs w:val="22"/>
              </w:rPr>
            </w:pPr>
            <w:r w:rsidRPr="002B19EE">
              <w:rPr>
                <w:color w:val="auto"/>
                <w:sz w:val="22"/>
                <w:szCs w:val="22"/>
              </w:rPr>
              <w:t>2</w:t>
            </w:r>
          </w:p>
        </w:tc>
        <w:tc>
          <w:tcPr>
            <w:tcW w:w="2568" w:type="dxa"/>
          </w:tcPr>
          <w:p w:rsidR="00842881" w:rsidRPr="002B19EE" w:rsidRDefault="00842881" w:rsidP="00842881">
            <w:pPr>
              <w:pStyle w:val="Pa19"/>
              <w:spacing w:after="80"/>
              <w:rPr>
                <w:rFonts w:ascii="Arial" w:hAnsi="Arial" w:cs="Arial"/>
                <w:color w:val="000000"/>
                <w:sz w:val="22"/>
                <w:szCs w:val="22"/>
              </w:rPr>
            </w:pPr>
            <w:r w:rsidRPr="002B19EE">
              <w:rPr>
                <w:rFonts w:ascii="Arial" w:hAnsi="Arial" w:cs="Arial"/>
                <w:color w:val="000000"/>
                <w:sz w:val="22"/>
                <w:szCs w:val="22"/>
              </w:rPr>
              <w:t>Nasser and the Non-Aligned movement; 1967 War and the death of Pan Arabism.</w:t>
            </w:r>
          </w:p>
          <w:p w:rsidR="0024481A" w:rsidRPr="002B19EE" w:rsidRDefault="0024481A" w:rsidP="00C57259">
            <w:pPr>
              <w:pStyle w:val="Pa19"/>
              <w:spacing w:after="80"/>
              <w:rPr>
                <w:rFonts w:ascii="Arial" w:hAnsi="Arial" w:cs="Arial"/>
                <w:color w:val="000000"/>
                <w:sz w:val="22"/>
                <w:szCs w:val="22"/>
              </w:rPr>
            </w:pPr>
          </w:p>
        </w:tc>
        <w:tc>
          <w:tcPr>
            <w:tcW w:w="4445" w:type="dxa"/>
          </w:tcPr>
          <w:p w:rsidR="00356507" w:rsidRPr="002B19EE" w:rsidRDefault="001A3E41" w:rsidP="00356507">
            <w:pPr>
              <w:pStyle w:val="Default"/>
              <w:numPr>
                <w:ilvl w:val="0"/>
                <w:numId w:val="2"/>
              </w:numPr>
              <w:ind w:left="413"/>
              <w:rPr>
                <w:color w:val="auto"/>
                <w:sz w:val="22"/>
                <w:szCs w:val="22"/>
              </w:rPr>
            </w:pPr>
            <w:r w:rsidRPr="002B19EE">
              <w:rPr>
                <w:color w:val="auto"/>
                <w:sz w:val="22"/>
                <w:szCs w:val="22"/>
              </w:rPr>
              <w:lastRenderedPageBreak/>
              <w:t>Reasons for involvement in Non-Aligned movement and key characteristics</w:t>
            </w:r>
          </w:p>
          <w:p w:rsidR="001A3E41" w:rsidRPr="002B19EE" w:rsidRDefault="001A3E41" w:rsidP="00356507">
            <w:pPr>
              <w:pStyle w:val="Default"/>
              <w:numPr>
                <w:ilvl w:val="0"/>
                <w:numId w:val="2"/>
              </w:numPr>
              <w:ind w:left="413"/>
              <w:rPr>
                <w:color w:val="auto"/>
                <w:sz w:val="22"/>
                <w:szCs w:val="22"/>
              </w:rPr>
            </w:pPr>
            <w:r w:rsidRPr="002B19EE">
              <w:rPr>
                <w:color w:val="auto"/>
                <w:sz w:val="22"/>
                <w:szCs w:val="22"/>
              </w:rPr>
              <w:t xml:space="preserve">Effects of 1967 war on Nasser and </w:t>
            </w:r>
            <w:r w:rsidRPr="002B19EE">
              <w:rPr>
                <w:color w:val="auto"/>
                <w:sz w:val="22"/>
                <w:szCs w:val="22"/>
              </w:rPr>
              <w:lastRenderedPageBreak/>
              <w:t>public opinion</w:t>
            </w:r>
          </w:p>
          <w:p w:rsidR="001A3E41" w:rsidRPr="002B19EE" w:rsidRDefault="001A3E41" w:rsidP="00356507">
            <w:pPr>
              <w:pStyle w:val="Default"/>
              <w:numPr>
                <w:ilvl w:val="0"/>
                <w:numId w:val="2"/>
              </w:numPr>
              <w:ind w:left="413"/>
              <w:rPr>
                <w:color w:val="auto"/>
                <w:sz w:val="22"/>
                <w:szCs w:val="22"/>
              </w:rPr>
            </w:pPr>
            <w:r w:rsidRPr="002B19EE">
              <w:rPr>
                <w:color w:val="auto"/>
                <w:sz w:val="22"/>
                <w:szCs w:val="22"/>
              </w:rPr>
              <w:t>Waning interest in Pan Arabism</w:t>
            </w:r>
          </w:p>
          <w:p w:rsidR="001A3E41" w:rsidRPr="002B19EE" w:rsidRDefault="001A3E41" w:rsidP="00356507">
            <w:pPr>
              <w:pStyle w:val="Default"/>
              <w:numPr>
                <w:ilvl w:val="0"/>
                <w:numId w:val="2"/>
              </w:numPr>
              <w:ind w:left="413"/>
              <w:rPr>
                <w:color w:val="auto"/>
                <w:sz w:val="22"/>
                <w:szCs w:val="22"/>
              </w:rPr>
            </w:pPr>
            <w:r w:rsidRPr="002B19EE">
              <w:rPr>
                <w:color w:val="auto"/>
                <w:sz w:val="22"/>
                <w:szCs w:val="22"/>
              </w:rPr>
              <w:t>Reasons for death of Pan Arabism</w:t>
            </w:r>
          </w:p>
        </w:tc>
        <w:tc>
          <w:tcPr>
            <w:tcW w:w="3315" w:type="dxa"/>
            <w:vMerge/>
          </w:tcPr>
          <w:p w:rsidR="0024481A" w:rsidRPr="002B19EE" w:rsidRDefault="0024481A" w:rsidP="002A698A">
            <w:pPr>
              <w:pStyle w:val="Default"/>
              <w:numPr>
                <w:ilvl w:val="0"/>
                <w:numId w:val="2"/>
              </w:numPr>
              <w:ind w:left="413"/>
              <w:rPr>
                <w:color w:val="auto"/>
                <w:sz w:val="22"/>
                <w:szCs w:val="22"/>
              </w:rPr>
            </w:pPr>
          </w:p>
        </w:tc>
      </w:tr>
    </w:tbl>
    <w:p w:rsidR="002134B4" w:rsidRPr="002B19EE" w:rsidRDefault="0071368D" w:rsidP="0034296E">
      <w:pPr>
        <w:spacing w:before="0" w:after="200"/>
      </w:pPr>
      <w:bookmarkStart w:id="0" w:name="_GoBack"/>
      <w:bookmarkEnd w:id="0"/>
      <w:r>
        <w:rPr>
          <w:noProof/>
          <w:lang w:eastAsia="en-GB"/>
        </w:rPr>
        <w:lastRenderedPageBreak/>
        <mc:AlternateContent>
          <mc:Choice Requires="wps">
            <w:drawing>
              <wp:anchor distT="0" distB="0" distL="114300" distR="114300" simplePos="0" relativeHeight="251659264" behindDoc="0" locked="0" layoutInCell="1" allowOverlap="1" wp14:anchorId="3641AF48" wp14:editId="10EE1B46">
                <wp:simplePos x="0" y="0"/>
                <wp:positionH relativeFrom="column">
                  <wp:posOffset>554990</wp:posOffset>
                </wp:positionH>
                <wp:positionV relativeFrom="paragraph">
                  <wp:posOffset>1867535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68D" w:rsidRPr="00685A49" w:rsidRDefault="0071368D" w:rsidP="0071368D">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Like’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71368D" w:rsidRPr="00301B34" w:rsidRDefault="0071368D" w:rsidP="0071368D">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71368D" w:rsidRPr="00301B34" w:rsidRDefault="0071368D" w:rsidP="0071368D">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71368D" w:rsidRDefault="0071368D" w:rsidP="0071368D">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147.0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0VPSxt8AAAALAQAADwAAAGRycy9kb3ducmV2LnhtbEyPy07DMBBF90j8gzVIbBB1WrnN&#10;o5lUgARi29IPmCTTJGpsR7HbpH+Pu4LlzBzdOTffzboXVx5dZw3CchGBYFPZujMNwvHn8zUB4TyZ&#10;mnprGOHGDnbF40NOWW0ns+frwTcihBiXEULr/ZBJ6aqWNbmFHdiE28mOmnwYx0bWI00hXPdyFUUb&#10;qakz4UNLA3+0XJ0PF41w+p5e1ulUfvljvFebd+ri0t4Qn5/mty0Iz7P/g+GuH9ShCE6lvZjaiR4h&#10;iVUgEVapWoK4A+soCasSQak0Blnk8n+H4hcAAP//AwBQSwECLQAUAAYACAAAACEAtoM4kv4AAADh&#10;AQAAEwAAAAAAAAAAAAAAAAAAAAAAW0NvbnRlbnRfVHlwZXNdLnhtbFBLAQItABQABgAIAAAAIQA4&#10;/SH/1gAAAJQBAAALAAAAAAAAAAAAAAAAAC8BAABfcmVscy8ucmVsc1BLAQItABQABgAIAAAAIQD6&#10;mgybhAIAAA8FAAAOAAAAAAAAAAAAAAAAAC4CAABkcnMvZTJvRG9jLnhtbFBLAQItABQABgAIAAAA&#10;IQDRU9LG3wAAAAsBAAAPAAAAAAAAAAAAAAAAAN4EAABkcnMvZG93bnJldi54bWxQSwUGAAAAAAQA&#10;BADzAAAA6gUAAAAA&#10;" stroked="f">
                <v:textbox>
                  <w:txbxContent>
                    <w:p w:rsidR="0071368D" w:rsidRPr="00685A49" w:rsidRDefault="0071368D" w:rsidP="0071368D">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71368D" w:rsidRPr="00301B34" w:rsidRDefault="0071368D" w:rsidP="0071368D">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71368D" w:rsidRPr="00301B34" w:rsidRDefault="0071368D" w:rsidP="0071368D">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71368D" w:rsidRDefault="0071368D" w:rsidP="0071368D">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A4154DC" wp14:editId="07612E81">
                <wp:simplePos x="0" y="0"/>
                <wp:positionH relativeFrom="column">
                  <wp:posOffset>561975</wp:posOffset>
                </wp:positionH>
                <wp:positionV relativeFrom="paragraph">
                  <wp:posOffset>2853690</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1368D" w:rsidRPr="00301B34" w:rsidRDefault="0071368D" w:rsidP="0071368D">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71368D" w:rsidRPr="00301B34" w:rsidRDefault="0071368D" w:rsidP="0071368D">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71368D" w:rsidRPr="007E1433" w:rsidRDefault="0071368D" w:rsidP="0071368D">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224.7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DNc737eAAAACwEAAA8AAABkcnMvZG93bnJldi54bWxMj0FO&#10;wzAQRfdI3MEaJHbUCZiSpJlUEVUPQAus3dhNrMbjKHbalNPjrmA5+k//vynXs+3ZWY/eOEJIFwkw&#10;TY1ThlqEz/32KQPmgyQle0ca4ao9rKv7u1IWyl3oQ593oWWxhHwhEboQhoJz33TaSr9wg6aYHd1o&#10;ZYjn2HI1yksstz1/TpIlt9JQXOjkoN873Zx2k0WYvtptWs90qkl886vZbHJjfxAfH+Z6BSzoOfzB&#10;cNOP6lBFp4ObSHnWI2TZayQRhMgFsBsg8rcXYAeEpUgF8Krk/3+ofgEAAP//AwBQSwECLQAUAAYA&#10;CAAAACEAtoM4kv4AAADhAQAAEwAAAAAAAAAAAAAAAAAAAAAAW0NvbnRlbnRfVHlwZXNdLnhtbFBL&#10;AQItABQABgAIAAAAIQA4/SH/1gAAAJQBAAALAAAAAAAAAAAAAAAAAC8BAABfcmVscy8ucmVsc1BL&#10;AQItABQABgAIAAAAIQDLTsqUlAIAADIFAAAOAAAAAAAAAAAAAAAAAC4CAABkcnMvZTJvRG9jLnht&#10;bFBLAQItABQABgAIAAAAIQAzXO9+3gAAAAsBAAAPAAAAAAAAAAAAAAAAAO4EAABkcnMvZG93bnJl&#10;di54bWxQSwUGAAAAAAQABADzAAAA+QUAAAAA&#10;" fillcolor="#d8d8d8" stroked="f">
                <v:textbox>
                  <w:txbxContent>
                    <w:p w:rsidR="0071368D" w:rsidRPr="00301B34" w:rsidRDefault="0071368D" w:rsidP="0071368D">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71368D" w:rsidRPr="00301B34" w:rsidRDefault="0071368D" w:rsidP="0071368D">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71368D" w:rsidRPr="007E1433" w:rsidRDefault="0071368D" w:rsidP="0071368D">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2134B4" w:rsidRPr="002B19EE" w:rsidSect="002B19EE">
      <w:headerReference w:type="default" r:id="rId18"/>
      <w:pgSz w:w="16838" w:h="11906" w:orient="landscape"/>
      <w:pgMar w:top="1702"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10E" w:rsidRDefault="002B610E" w:rsidP="008E5637">
      <w:r>
        <w:separator/>
      </w:r>
    </w:p>
  </w:endnote>
  <w:endnote w:type="continuationSeparator" w:id="0">
    <w:p w:rsidR="002B610E" w:rsidRDefault="002B610E"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65" w:rsidRPr="002B19EE" w:rsidRDefault="002B19EE" w:rsidP="002B19EE">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07D4D">
      <w:rPr>
        <w:noProof/>
        <w:sz w:val="16"/>
        <w:szCs w:val="16"/>
      </w:rPr>
      <w:t>10</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10E" w:rsidRDefault="002B610E" w:rsidP="008E5637">
      <w:r>
        <w:separator/>
      </w:r>
    </w:p>
  </w:footnote>
  <w:footnote w:type="continuationSeparator" w:id="0">
    <w:p w:rsidR="002B610E" w:rsidRDefault="002B610E"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65" w:rsidRDefault="002B19EE" w:rsidP="008E5637">
    <w:pPr>
      <w:pStyle w:val="Header"/>
    </w:pPr>
    <w:r>
      <w:rPr>
        <w:noProof/>
        <w:lang w:eastAsia="en-GB"/>
      </w:rPr>
      <w:drawing>
        <wp:anchor distT="0" distB="0" distL="114300" distR="114300" simplePos="0" relativeHeight="251659264" behindDoc="0" locked="0" layoutInCell="1" allowOverlap="1" wp14:anchorId="407EE7A3" wp14:editId="5F893E57">
          <wp:simplePos x="0" y="0"/>
          <wp:positionH relativeFrom="column">
            <wp:posOffset>-489585</wp:posOffset>
          </wp:positionH>
          <wp:positionV relativeFrom="paragraph">
            <wp:posOffset>-468630</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EE" w:rsidRDefault="002B19EE" w:rsidP="008E5637">
    <w:pPr>
      <w:pStyle w:val="Header"/>
    </w:pPr>
    <w:r>
      <w:rPr>
        <w:noProof/>
        <w:lang w:eastAsia="en-GB"/>
      </w:rPr>
      <w:drawing>
        <wp:anchor distT="0" distB="0" distL="114300" distR="114300" simplePos="0" relativeHeight="251661312" behindDoc="0" locked="0" layoutInCell="1" allowOverlap="1" wp14:anchorId="61DE9AF8" wp14:editId="33EC0F2F">
          <wp:simplePos x="0" y="0"/>
          <wp:positionH relativeFrom="column">
            <wp:posOffset>-447675</wp:posOffset>
          </wp:positionH>
          <wp:positionV relativeFrom="paragraph">
            <wp:posOffset>-449580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96B"/>
    <w:multiLevelType w:val="hybridMultilevel"/>
    <w:tmpl w:val="605AE968"/>
    <w:lvl w:ilvl="0" w:tplc="1EB21E3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FE5187"/>
    <w:multiLevelType w:val="hybridMultilevel"/>
    <w:tmpl w:val="D2A0CC46"/>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5A247A"/>
    <w:multiLevelType w:val="hybridMultilevel"/>
    <w:tmpl w:val="11BE2304"/>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
    <w:nsid w:val="05A64E1A"/>
    <w:multiLevelType w:val="hybridMultilevel"/>
    <w:tmpl w:val="137C01B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
    <w:nsid w:val="070507B0"/>
    <w:multiLevelType w:val="hybridMultilevel"/>
    <w:tmpl w:val="358E15C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
    <w:nsid w:val="08AB26F3"/>
    <w:multiLevelType w:val="hybridMultilevel"/>
    <w:tmpl w:val="06DC8EB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6">
    <w:nsid w:val="0D0A7B63"/>
    <w:multiLevelType w:val="hybridMultilevel"/>
    <w:tmpl w:val="9FE8223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7">
    <w:nsid w:val="0D54729D"/>
    <w:multiLevelType w:val="hybridMultilevel"/>
    <w:tmpl w:val="978A07E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8">
    <w:nsid w:val="0D5F2EEC"/>
    <w:multiLevelType w:val="hybridMultilevel"/>
    <w:tmpl w:val="7CDCA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E1974B5"/>
    <w:multiLevelType w:val="hybridMultilevel"/>
    <w:tmpl w:val="0A164A9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0">
    <w:nsid w:val="0EFE5BBA"/>
    <w:multiLevelType w:val="hybridMultilevel"/>
    <w:tmpl w:val="562E8732"/>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1">
    <w:nsid w:val="10890D61"/>
    <w:multiLevelType w:val="hybridMultilevel"/>
    <w:tmpl w:val="0036746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2">
    <w:nsid w:val="112A1B8D"/>
    <w:multiLevelType w:val="hybridMultilevel"/>
    <w:tmpl w:val="608EB1E8"/>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3">
    <w:nsid w:val="119005F4"/>
    <w:multiLevelType w:val="hybridMultilevel"/>
    <w:tmpl w:val="43FA21A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4">
    <w:nsid w:val="128D6625"/>
    <w:multiLevelType w:val="hybridMultilevel"/>
    <w:tmpl w:val="E08CDFC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5">
    <w:nsid w:val="169E5A72"/>
    <w:multiLevelType w:val="hybridMultilevel"/>
    <w:tmpl w:val="2EA4AED6"/>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6">
    <w:nsid w:val="18604159"/>
    <w:multiLevelType w:val="hybridMultilevel"/>
    <w:tmpl w:val="72861E2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7">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1CC735F4"/>
    <w:multiLevelType w:val="hybridMultilevel"/>
    <w:tmpl w:val="3B2C6AF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9">
    <w:nsid w:val="22B37205"/>
    <w:multiLevelType w:val="hybridMultilevel"/>
    <w:tmpl w:val="086EA3B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0">
    <w:nsid w:val="233D1EBA"/>
    <w:multiLevelType w:val="hybridMultilevel"/>
    <w:tmpl w:val="06F0A9A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1">
    <w:nsid w:val="234E0E9C"/>
    <w:multiLevelType w:val="hybridMultilevel"/>
    <w:tmpl w:val="4E22E896"/>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2">
    <w:nsid w:val="234F4BF7"/>
    <w:multiLevelType w:val="hybridMultilevel"/>
    <w:tmpl w:val="FCFA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4F63D38"/>
    <w:multiLevelType w:val="hybridMultilevel"/>
    <w:tmpl w:val="93E0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72D2549"/>
    <w:multiLevelType w:val="hybridMultilevel"/>
    <w:tmpl w:val="1E282B2A"/>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5">
    <w:nsid w:val="2ADB5903"/>
    <w:multiLevelType w:val="hybridMultilevel"/>
    <w:tmpl w:val="0C741C8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6">
    <w:nsid w:val="2AE30650"/>
    <w:multiLevelType w:val="hybridMultilevel"/>
    <w:tmpl w:val="D278F13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7">
    <w:nsid w:val="2E343A38"/>
    <w:multiLevelType w:val="hybridMultilevel"/>
    <w:tmpl w:val="77BE4AF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8">
    <w:nsid w:val="303A55B8"/>
    <w:multiLevelType w:val="hybridMultilevel"/>
    <w:tmpl w:val="550400F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9">
    <w:nsid w:val="305A1EE2"/>
    <w:multiLevelType w:val="hybridMultilevel"/>
    <w:tmpl w:val="181AFBA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0">
    <w:nsid w:val="31EB4EC1"/>
    <w:multiLevelType w:val="hybridMultilevel"/>
    <w:tmpl w:val="1578150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1">
    <w:nsid w:val="36B74741"/>
    <w:multiLevelType w:val="hybridMultilevel"/>
    <w:tmpl w:val="AC70E9B2"/>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3DE70B1D"/>
    <w:multiLevelType w:val="hybridMultilevel"/>
    <w:tmpl w:val="2520C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E87767D"/>
    <w:multiLevelType w:val="hybridMultilevel"/>
    <w:tmpl w:val="C3C050F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4">
    <w:nsid w:val="3F7829D3"/>
    <w:multiLevelType w:val="hybridMultilevel"/>
    <w:tmpl w:val="764E09F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5">
    <w:nsid w:val="40AF2B54"/>
    <w:multiLevelType w:val="hybridMultilevel"/>
    <w:tmpl w:val="BB3A42C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6">
    <w:nsid w:val="420C1A18"/>
    <w:multiLevelType w:val="hybridMultilevel"/>
    <w:tmpl w:val="6004DE4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7">
    <w:nsid w:val="458A0096"/>
    <w:multiLevelType w:val="hybridMultilevel"/>
    <w:tmpl w:val="31FE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8A77ACC"/>
    <w:multiLevelType w:val="hybridMultilevel"/>
    <w:tmpl w:val="7F14A9C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9">
    <w:nsid w:val="49BC66E4"/>
    <w:multiLevelType w:val="hybridMultilevel"/>
    <w:tmpl w:val="29CA714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0">
    <w:nsid w:val="4FE97528"/>
    <w:multiLevelType w:val="hybridMultilevel"/>
    <w:tmpl w:val="9200B874"/>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41">
    <w:nsid w:val="528744EA"/>
    <w:multiLevelType w:val="hybridMultilevel"/>
    <w:tmpl w:val="8D24413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2">
    <w:nsid w:val="537A2CE2"/>
    <w:multiLevelType w:val="hybridMultilevel"/>
    <w:tmpl w:val="4588ECE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3">
    <w:nsid w:val="538A0F4F"/>
    <w:multiLevelType w:val="hybridMultilevel"/>
    <w:tmpl w:val="0828242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4">
    <w:nsid w:val="538B4B11"/>
    <w:multiLevelType w:val="hybridMultilevel"/>
    <w:tmpl w:val="45C2A67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5">
    <w:nsid w:val="56C760E2"/>
    <w:multiLevelType w:val="hybridMultilevel"/>
    <w:tmpl w:val="02DC1C7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6">
    <w:nsid w:val="57A93DCC"/>
    <w:multiLevelType w:val="hybridMultilevel"/>
    <w:tmpl w:val="CF86C65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7">
    <w:nsid w:val="59473303"/>
    <w:multiLevelType w:val="hybridMultilevel"/>
    <w:tmpl w:val="D7C4272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8">
    <w:nsid w:val="59BE0FD6"/>
    <w:multiLevelType w:val="hybridMultilevel"/>
    <w:tmpl w:val="6EB468B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9">
    <w:nsid w:val="5CF3283A"/>
    <w:multiLevelType w:val="hybridMultilevel"/>
    <w:tmpl w:val="F100335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0">
    <w:nsid w:val="62F10C53"/>
    <w:multiLevelType w:val="hybridMultilevel"/>
    <w:tmpl w:val="FD74CF9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1">
    <w:nsid w:val="64BD04D3"/>
    <w:multiLevelType w:val="hybridMultilevel"/>
    <w:tmpl w:val="718C675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2">
    <w:nsid w:val="67865EB8"/>
    <w:multiLevelType w:val="hybridMultilevel"/>
    <w:tmpl w:val="17CA1B2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3">
    <w:nsid w:val="691B0734"/>
    <w:multiLevelType w:val="hybridMultilevel"/>
    <w:tmpl w:val="D2DCD2F4"/>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54">
    <w:nsid w:val="6C7F1EDF"/>
    <w:multiLevelType w:val="hybridMultilevel"/>
    <w:tmpl w:val="BA60678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5">
    <w:nsid w:val="73A00737"/>
    <w:multiLevelType w:val="hybridMultilevel"/>
    <w:tmpl w:val="E2FA42E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6">
    <w:nsid w:val="78CA3024"/>
    <w:multiLevelType w:val="hybridMultilevel"/>
    <w:tmpl w:val="2CD65E6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7">
    <w:nsid w:val="7B483D67"/>
    <w:multiLevelType w:val="hybridMultilevel"/>
    <w:tmpl w:val="797297D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num w:numId="1">
    <w:abstractNumId w:val="17"/>
  </w:num>
  <w:num w:numId="2">
    <w:abstractNumId w:val="22"/>
  </w:num>
  <w:num w:numId="3">
    <w:abstractNumId w:val="23"/>
  </w:num>
  <w:num w:numId="4">
    <w:abstractNumId w:val="5"/>
  </w:num>
  <w:num w:numId="5">
    <w:abstractNumId w:val="0"/>
  </w:num>
  <w:num w:numId="6">
    <w:abstractNumId w:val="31"/>
  </w:num>
  <w:num w:numId="7">
    <w:abstractNumId w:val="25"/>
  </w:num>
  <w:num w:numId="8">
    <w:abstractNumId w:val="4"/>
  </w:num>
  <w:num w:numId="9">
    <w:abstractNumId w:val="56"/>
  </w:num>
  <w:num w:numId="10">
    <w:abstractNumId w:val="48"/>
  </w:num>
  <w:num w:numId="11">
    <w:abstractNumId w:val="42"/>
  </w:num>
  <w:num w:numId="12">
    <w:abstractNumId w:val="36"/>
  </w:num>
  <w:num w:numId="13">
    <w:abstractNumId w:val="29"/>
  </w:num>
  <w:num w:numId="14">
    <w:abstractNumId w:val="1"/>
  </w:num>
  <w:num w:numId="15">
    <w:abstractNumId w:val="7"/>
  </w:num>
  <w:num w:numId="16">
    <w:abstractNumId w:val="11"/>
  </w:num>
  <w:num w:numId="17">
    <w:abstractNumId w:val="45"/>
  </w:num>
  <w:num w:numId="18">
    <w:abstractNumId w:val="14"/>
  </w:num>
  <w:num w:numId="19">
    <w:abstractNumId w:val="54"/>
  </w:num>
  <w:num w:numId="20">
    <w:abstractNumId w:val="19"/>
  </w:num>
  <w:num w:numId="21">
    <w:abstractNumId w:val="34"/>
  </w:num>
  <w:num w:numId="22">
    <w:abstractNumId w:val="27"/>
  </w:num>
  <w:num w:numId="23">
    <w:abstractNumId w:val="26"/>
  </w:num>
  <w:num w:numId="24">
    <w:abstractNumId w:val="28"/>
  </w:num>
  <w:num w:numId="25">
    <w:abstractNumId w:val="57"/>
  </w:num>
  <w:num w:numId="26">
    <w:abstractNumId w:val="30"/>
  </w:num>
  <w:num w:numId="27">
    <w:abstractNumId w:val="39"/>
  </w:num>
  <w:num w:numId="28">
    <w:abstractNumId w:val="50"/>
  </w:num>
  <w:num w:numId="29">
    <w:abstractNumId w:val="38"/>
  </w:num>
  <w:num w:numId="30">
    <w:abstractNumId w:val="52"/>
  </w:num>
  <w:num w:numId="31">
    <w:abstractNumId w:val="18"/>
  </w:num>
  <w:num w:numId="32">
    <w:abstractNumId w:val="43"/>
  </w:num>
  <w:num w:numId="33">
    <w:abstractNumId w:val="6"/>
  </w:num>
  <w:num w:numId="34">
    <w:abstractNumId w:val="55"/>
  </w:num>
  <w:num w:numId="35">
    <w:abstractNumId w:val="51"/>
  </w:num>
  <w:num w:numId="36">
    <w:abstractNumId w:val="47"/>
  </w:num>
  <w:num w:numId="37">
    <w:abstractNumId w:val="13"/>
  </w:num>
  <w:num w:numId="38">
    <w:abstractNumId w:val="49"/>
  </w:num>
  <w:num w:numId="39">
    <w:abstractNumId w:val="9"/>
  </w:num>
  <w:num w:numId="40">
    <w:abstractNumId w:val="46"/>
  </w:num>
  <w:num w:numId="41">
    <w:abstractNumId w:val="35"/>
  </w:num>
  <w:num w:numId="42">
    <w:abstractNumId w:val="3"/>
  </w:num>
  <w:num w:numId="43">
    <w:abstractNumId w:val="41"/>
  </w:num>
  <w:num w:numId="44">
    <w:abstractNumId w:val="16"/>
  </w:num>
  <w:num w:numId="45">
    <w:abstractNumId w:val="20"/>
  </w:num>
  <w:num w:numId="46">
    <w:abstractNumId w:val="33"/>
  </w:num>
  <w:num w:numId="47">
    <w:abstractNumId w:val="44"/>
  </w:num>
  <w:num w:numId="48">
    <w:abstractNumId w:val="2"/>
  </w:num>
  <w:num w:numId="49">
    <w:abstractNumId w:val="40"/>
  </w:num>
  <w:num w:numId="50">
    <w:abstractNumId w:val="15"/>
  </w:num>
  <w:num w:numId="51">
    <w:abstractNumId w:val="12"/>
  </w:num>
  <w:num w:numId="52">
    <w:abstractNumId w:val="53"/>
  </w:num>
  <w:num w:numId="53">
    <w:abstractNumId w:val="21"/>
  </w:num>
  <w:num w:numId="54">
    <w:abstractNumId w:val="24"/>
  </w:num>
  <w:num w:numId="55">
    <w:abstractNumId w:val="10"/>
  </w:num>
  <w:num w:numId="56">
    <w:abstractNumId w:val="32"/>
  </w:num>
  <w:num w:numId="57">
    <w:abstractNumId w:val="8"/>
  </w:num>
  <w:num w:numId="58">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090B"/>
    <w:rsid w:val="0000396E"/>
    <w:rsid w:val="00006D34"/>
    <w:rsid w:val="00007187"/>
    <w:rsid w:val="00013582"/>
    <w:rsid w:val="00020A7C"/>
    <w:rsid w:val="00020AA0"/>
    <w:rsid w:val="00023D3B"/>
    <w:rsid w:val="00034206"/>
    <w:rsid w:val="0005024D"/>
    <w:rsid w:val="00051AE6"/>
    <w:rsid w:val="00066941"/>
    <w:rsid w:val="00080FE9"/>
    <w:rsid w:val="000877B9"/>
    <w:rsid w:val="00091C14"/>
    <w:rsid w:val="0009409E"/>
    <w:rsid w:val="0009439C"/>
    <w:rsid w:val="000A33F0"/>
    <w:rsid w:val="000B338A"/>
    <w:rsid w:val="000C04AC"/>
    <w:rsid w:val="000C2CC1"/>
    <w:rsid w:val="000C4354"/>
    <w:rsid w:val="000D5815"/>
    <w:rsid w:val="000E3054"/>
    <w:rsid w:val="000E5540"/>
    <w:rsid w:val="000F0D42"/>
    <w:rsid w:val="00101144"/>
    <w:rsid w:val="00102770"/>
    <w:rsid w:val="00107391"/>
    <w:rsid w:val="00107D4D"/>
    <w:rsid w:val="00111991"/>
    <w:rsid w:val="001150E8"/>
    <w:rsid w:val="00117BF4"/>
    <w:rsid w:val="00120085"/>
    <w:rsid w:val="00133D6A"/>
    <w:rsid w:val="001359F0"/>
    <w:rsid w:val="001373A9"/>
    <w:rsid w:val="00137B31"/>
    <w:rsid w:val="00145140"/>
    <w:rsid w:val="00151D09"/>
    <w:rsid w:val="00154964"/>
    <w:rsid w:val="001563A4"/>
    <w:rsid w:val="00156CDA"/>
    <w:rsid w:val="00161E9C"/>
    <w:rsid w:val="00164397"/>
    <w:rsid w:val="00184E5A"/>
    <w:rsid w:val="00185763"/>
    <w:rsid w:val="00185D69"/>
    <w:rsid w:val="00187453"/>
    <w:rsid w:val="00187FDF"/>
    <w:rsid w:val="00191DB0"/>
    <w:rsid w:val="001A0C5B"/>
    <w:rsid w:val="001A14F0"/>
    <w:rsid w:val="001A261F"/>
    <w:rsid w:val="001A31B7"/>
    <w:rsid w:val="001A3E41"/>
    <w:rsid w:val="001A53DB"/>
    <w:rsid w:val="001A7347"/>
    <w:rsid w:val="001B16F4"/>
    <w:rsid w:val="001B3FCF"/>
    <w:rsid w:val="001B71ED"/>
    <w:rsid w:val="001C2412"/>
    <w:rsid w:val="001C5948"/>
    <w:rsid w:val="001C5CD5"/>
    <w:rsid w:val="001D08F4"/>
    <w:rsid w:val="001D34FA"/>
    <w:rsid w:val="001E0467"/>
    <w:rsid w:val="001E1A5E"/>
    <w:rsid w:val="001E3619"/>
    <w:rsid w:val="001E4AB3"/>
    <w:rsid w:val="001E66E8"/>
    <w:rsid w:val="001F0E20"/>
    <w:rsid w:val="00201CE2"/>
    <w:rsid w:val="00202331"/>
    <w:rsid w:val="002036B1"/>
    <w:rsid w:val="00203FB1"/>
    <w:rsid w:val="00206D01"/>
    <w:rsid w:val="002134B4"/>
    <w:rsid w:val="002423ED"/>
    <w:rsid w:val="0024481A"/>
    <w:rsid w:val="00252178"/>
    <w:rsid w:val="002571C9"/>
    <w:rsid w:val="0026156B"/>
    <w:rsid w:val="00263EEE"/>
    <w:rsid w:val="00265283"/>
    <w:rsid w:val="00271CB3"/>
    <w:rsid w:val="002746CD"/>
    <w:rsid w:val="002748EB"/>
    <w:rsid w:val="00274FEB"/>
    <w:rsid w:val="00281D91"/>
    <w:rsid w:val="002852DF"/>
    <w:rsid w:val="00286ADD"/>
    <w:rsid w:val="00292677"/>
    <w:rsid w:val="00294980"/>
    <w:rsid w:val="00296BC9"/>
    <w:rsid w:val="0029740B"/>
    <w:rsid w:val="002A01D4"/>
    <w:rsid w:val="002A08DB"/>
    <w:rsid w:val="002A698A"/>
    <w:rsid w:val="002B19EE"/>
    <w:rsid w:val="002B4B9D"/>
    <w:rsid w:val="002B5E64"/>
    <w:rsid w:val="002B610E"/>
    <w:rsid w:val="002B6259"/>
    <w:rsid w:val="002B749C"/>
    <w:rsid w:val="002C62D8"/>
    <w:rsid w:val="002C7FAE"/>
    <w:rsid w:val="002D26EF"/>
    <w:rsid w:val="002D27CD"/>
    <w:rsid w:val="002D474A"/>
    <w:rsid w:val="002E0B65"/>
    <w:rsid w:val="002E7EB1"/>
    <w:rsid w:val="002F01A5"/>
    <w:rsid w:val="002F158E"/>
    <w:rsid w:val="002F3BB3"/>
    <w:rsid w:val="00305187"/>
    <w:rsid w:val="00314182"/>
    <w:rsid w:val="00314386"/>
    <w:rsid w:val="00314650"/>
    <w:rsid w:val="00324AD7"/>
    <w:rsid w:val="00333238"/>
    <w:rsid w:val="003343AD"/>
    <w:rsid w:val="003350B8"/>
    <w:rsid w:val="00336DBE"/>
    <w:rsid w:val="00337F2C"/>
    <w:rsid w:val="003427DC"/>
    <w:rsid w:val="0034296E"/>
    <w:rsid w:val="003436A2"/>
    <w:rsid w:val="003450B8"/>
    <w:rsid w:val="003504CA"/>
    <w:rsid w:val="00351216"/>
    <w:rsid w:val="00354224"/>
    <w:rsid w:val="003553CB"/>
    <w:rsid w:val="00355471"/>
    <w:rsid w:val="00356507"/>
    <w:rsid w:val="00373852"/>
    <w:rsid w:val="00382D6E"/>
    <w:rsid w:val="003862B3"/>
    <w:rsid w:val="00386A15"/>
    <w:rsid w:val="00387745"/>
    <w:rsid w:val="003A5DD9"/>
    <w:rsid w:val="003B0744"/>
    <w:rsid w:val="003B6FD3"/>
    <w:rsid w:val="003C49B4"/>
    <w:rsid w:val="003C547D"/>
    <w:rsid w:val="003C60FC"/>
    <w:rsid w:val="003D04A3"/>
    <w:rsid w:val="003D4C78"/>
    <w:rsid w:val="003D64ED"/>
    <w:rsid w:val="003E7D33"/>
    <w:rsid w:val="003F5683"/>
    <w:rsid w:val="003F7016"/>
    <w:rsid w:val="00402E1C"/>
    <w:rsid w:val="00405214"/>
    <w:rsid w:val="004059E5"/>
    <w:rsid w:val="004076F7"/>
    <w:rsid w:val="00416E87"/>
    <w:rsid w:val="00421798"/>
    <w:rsid w:val="004266D6"/>
    <w:rsid w:val="00427D0B"/>
    <w:rsid w:val="00431FE3"/>
    <w:rsid w:val="00432917"/>
    <w:rsid w:val="00435741"/>
    <w:rsid w:val="00440463"/>
    <w:rsid w:val="00442D92"/>
    <w:rsid w:val="00444121"/>
    <w:rsid w:val="004508DD"/>
    <w:rsid w:val="004514A4"/>
    <w:rsid w:val="00452525"/>
    <w:rsid w:val="00462B65"/>
    <w:rsid w:val="0046423E"/>
    <w:rsid w:val="00470BC2"/>
    <w:rsid w:val="004713C4"/>
    <w:rsid w:val="00472A19"/>
    <w:rsid w:val="00476991"/>
    <w:rsid w:val="00477B3A"/>
    <w:rsid w:val="00480B65"/>
    <w:rsid w:val="004858A6"/>
    <w:rsid w:val="004A1971"/>
    <w:rsid w:val="004A69C2"/>
    <w:rsid w:val="004B0383"/>
    <w:rsid w:val="004B2338"/>
    <w:rsid w:val="004B3D98"/>
    <w:rsid w:val="004B5AC8"/>
    <w:rsid w:val="004B5C5A"/>
    <w:rsid w:val="004B66DC"/>
    <w:rsid w:val="004C24C5"/>
    <w:rsid w:val="004C2FDD"/>
    <w:rsid w:val="004C30FA"/>
    <w:rsid w:val="004E28E6"/>
    <w:rsid w:val="004F08D7"/>
    <w:rsid w:val="004F17B6"/>
    <w:rsid w:val="004F24BB"/>
    <w:rsid w:val="00502254"/>
    <w:rsid w:val="00504B5C"/>
    <w:rsid w:val="0050562E"/>
    <w:rsid w:val="005101D5"/>
    <w:rsid w:val="00515A24"/>
    <w:rsid w:val="00521DA2"/>
    <w:rsid w:val="00522354"/>
    <w:rsid w:val="00525564"/>
    <w:rsid w:val="00530DCD"/>
    <w:rsid w:val="00531B4C"/>
    <w:rsid w:val="0053540F"/>
    <w:rsid w:val="0054748B"/>
    <w:rsid w:val="00550B78"/>
    <w:rsid w:val="00552299"/>
    <w:rsid w:val="005610ED"/>
    <w:rsid w:val="00562A3B"/>
    <w:rsid w:val="00563350"/>
    <w:rsid w:val="00566FA3"/>
    <w:rsid w:val="00576B0E"/>
    <w:rsid w:val="0058177B"/>
    <w:rsid w:val="005845D7"/>
    <w:rsid w:val="00593E00"/>
    <w:rsid w:val="005A7672"/>
    <w:rsid w:val="005B07A7"/>
    <w:rsid w:val="005B2468"/>
    <w:rsid w:val="005B40B6"/>
    <w:rsid w:val="005C7AB9"/>
    <w:rsid w:val="005D1ABB"/>
    <w:rsid w:val="005D7EFE"/>
    <w:rsid w:val="005E0140"/>
    <w:rsid w:val="005E0521"/>
    <w:rsid w:val="005E3BA5"/>
    <w:rsid w:val="005E6BEA"/>
    <w:rsid w:val="005F1131"/>
    <w:rsid w:val="005F1A94"/>
    <w:rsid w:val="005F6064"/>
    <w:rsid w:val="005F70F6"/>
    <w:rsid w:val="00600FDF"/>
    <w:rsid w:val="00604DA5"/>
    <w:rsid w:val="00615FB6"/>
    <w:rsid w:val="00616A30"/>
    <w:rsid w:val="00621FCF"/>
    <w:rsid w:val="00626257"/>
    <w:rsid w:val="006267A0"/>
    <w:rsid w:val="00627488"/>
    <w:rsid w:val="0063248B"/>
    <w:rsid w:val="00635334"/>
    <w:rsid w:val="00645AF9"/>
    <w:rsid w:val="00652319"/>
    <w:rsid w:val="00654FC0"/>
    <w:rsid w:val="00657EBF"/>
    <w:rsid w:val="00663693"/>
    <w:rsid w:val="006747EE"/>
    <w:rsid w:val="006764B0"/>
    <w:rsid w:val="00676BC8"/>
    <w:rsid w:val="0067754D"/>
    <w:rsid w:val="006807B9"/>
    <w:rsid w:val="006926C9"/>
    <w:rsid w:val="00694055"/>
    <w:rsid w:val="006963B4"/>
    <w:rsid w:val="006A3F74"/>
    <w:rsid w:val="006B19C0"/>
    <w:rsid w:val="006B6981"/>
    <w:rsid w:val="006C77A4"/>
    <w:rsid w:val="006D1293"/>
    <w:rsid w:val="006D5760"/>
    <w:rsid w:val="006D5849"/>
    <w:rsid w:val="006E09ED"/>
    <w:rsid w:val="006F1EE9"/>
    <w:rsid w:val="006F3FBC"/>
    <w:rsid w:val="006F5268"/>
    <w:rsid w:val="00700D8A"/>
    <w:rsid w:val="00700FC3"/>
    <w:rsid w:val="0070274D"/>
    <w:rsid w:val="00707F78"/>
    <w:rsid w:val="0071231E"/>
    <w:rsid w:val="0071368D"/>
    <w:rsid w:val="007136B3"/>
    <w:rsid w:val="007203B0"/>
    <w:rsid w:val="0072043A"/>
    <w:rsid w:val="00720F22"/>
    <w:rsid w:val="00734E47"/>
    <w:rsid w:val="007367AF"/>
    <w:rsid w:val="0074086C"/>
    <w:rsid w:val="00740872"/>
    <w:rsid w:val="0074271F"/>
    <w:rsid w:val="00742892"/>
    <w:rsid w:val="00745974"/>
    <w:rsid w:val="007547DA"/>
    <w:rsid w:val="007573DC"/>
    <w:rsid w:val="00771DB2"/>
    <w:rsid w:val="00782E34"/>
    <w:rsid w:val="00797621"/>
    <w:rsid w:val="007A0312"/>
    <w:rsid w:val="007A4532"/>
    <w:rsid w:val="007A637A"/>
    <w:rsid w:val="007B028C"/>
    <w:rsid w:val="007B0AFD"/>
    <w:rsid w:val="007B1A70"/>
    <w:rsid w:val="007B6744"/>
    <w:rsid w:val="007B768C"/>
    <w:rsid w:val="007C1B5D"/>
    <w:rsid w:val="007C290B"/>
    <w:rsid w:val="007C3B76"/>
    <w:rsid w:val="007C5750"/>
    <w:rsid w:val="007C6BAC"/>
    <w:rsid w:val="007D30E7"/>
    <w:rsid w:val="007E1640"/>
    <w:rsid w:val="007E3C45"/>
    <w:rsid w:val="007E731C"/>
    <w:rsid w:val="007F0009"/>
    <w:rsid w:val="007F1993"/>
    <w:rsid w:val="007F2C6E"/>
    <w:rsid w:val="007F3F32"/>
    <w:rsid w:val="007F45F8"/>
    <w:rsid w:val="00813E8D"/>
    <w:rsid w:val="0081609B"/>
    <w:rsid w:val="008168C6"/>
    <w:rsid w:val="00821931"/>
    <w:rsid w:val="00832F4D"/>
    <w:rsid w:val="00834B38"/>
    <w:rsid w:val="0083640D"/>
    <w:rsid w:val="00842881"/>
    <w:rsid w:val="00844166"/>
    <w:rsid w:val="00850158"/>
    <w:rsid w:val="00857EB1"/>
    <w:rsid w:val="00862992"/>
    <w:rsid w:val="008633AE"/>
    <w:rsid w:val="00864DD2"/>
    <w:rsid w:val="00866EEA"/>
    <w:rsid w:val="008733B5"/>
    <w:rsid w:val="0088377B"/>
    <w:rsid w:val="008843CD"/>
    <w:rsid w:val="008911A4"/>
    <w:rsid w:val="008A00E8"/>
    <w:rsid w:val="008A0E0A"/>
    <w:rsid w:val="008A2B3B"/>
    <w:rsid w:val="008A3375"/>
    <w:rsid w:val="008A39A0"/>
    <w:rsid w:val="008A5564"/>
    <w:rsid w:val="008B3FE9"/>
    <w:rsid w:val="008B7C67"/>
    <w:rsid w:val="008C52A7"/>
    <w:rsid w:val="008C594F"/>
    <w:rsid w:val="008C5C68"/>
    <w:rsid w:val="008D2F60"/>
    <w:rsid w:val="008D304A"/>
    <w:rsid w:val="008D63A2"/>
    <w:rsid w:val="008D7595"/>
    <w:rsid w:val="008E5637"/>
    <w:rsid w:val="008E5A96"/>
    <w:rsid w:val="008E75F0"/>
    <w:rsid w:val="008F1768"/>
    <w:rsid w:val="008F6921"/>
    <w:rsid w:val="008F7554"/>
    <w:rsid w:val="009001E6"/>
    <w:rsid w:val="009030B0"/>
    <w:rsid w:val="00913E41"/>
    <w:rsid w:val="00920C0C"/>
    <w:rsid w:val="00923450"/>
    <w:rsid w:val="0093061E"/>
    <w:rsid w:val="00933055"/>
    <w:rsid w:val="00937048"/>
    <w:rsid w:val="00946EFA"/>
    <w:rsid w:val="00956FA2"/>
    <w:rsid w:val="0097436C"/>
    <w:rsid w:val="009760C4"/>
    <w:rsid w:val="00986172"/>
    <w:rsid w:val="0099293C"/>
    <w:rsid w:val="009A2063"/>
    <w:rsid w:val="009B6FB1"/>
    <w:rsid w:val="009C1D14"/>
    <w:rsid w:val="009C2D43"/>
    <w:rsid w:val="009D3EA1"/>
    <w:rsid w:val="009D4218"/>
    <w:rsid w:val="009D57D0"/>
    <w:rsid w:val="009E2264"/>
    <w:rsid w:val="009E6B9F"/>
    <w:rsid w:val="009F1E9D"/>
    <w:rsid w:val="009F24CA"/>
    <w:rsid w:val="009F2879"/>
    <w:rsid w:val="009F53DD"/>
    <w:rsid w:val="00A003CE"/>
    <w:rsid w:val="00A00EF2"/>
    <w:rsid w:val="00A1248C"/>
    <w:rsid w:val="00A1561A"/>
    <w:rsid w:val="00A1689A"/>
    <w:rsid w:val="00A30448"/>
    <w:rsid w:val="00A3324E"/>
    <w:rsid w:val="00A402A5"/>
    <w:rsid w:val="00A42EF4"/>
    <w:rsid w:val="00A45CA9"/>
    <w:rsid w:val="00A50454"/>
    <w:rsid w:val="00A56C91"/>
    <w:rsid w:val="00A61397"/>
    <w:rsid w:val="00A62CA1"/>
    <w:rsid w:val="00A62E73"/>
    <w:rsid w:val="00A707EE"/>
    <w:rsid w:val="00A751EC"/>
    <w:rsid w:val="00A7524B"/>
    <w:rsid w:val="00A80515"/>
    <w:rsid w:val="00A83221"/>
    <w:rsid w:val="00A90EBE"/>
    <w:rsid w:val="00AA0B4C"/>
    <w:rsid w:val="00AB267D"/>
    <w:rsid w:val="00AB58FB"/>
    <w:rsid w:val="00AC3C3F"/>
    <w:rsid w:val="00AD21D3"/>
    <w:rsid w:val="00AD3C5A"/>
    <w:rsid w:val="00AE26B2"/>
    <w:rsid w:val="00AE3D3D"/>
    <w:rsid w:val="00AF07DF"/>
    <w:rsid w:val="00AF29E8"/>
    <w:rsid w:val="00AF3B96"/>
    <w:rsid w:val="00AF62AD"/>
    <w:rsid w:val="00AF791C"/>
    <w:rsid w:val="00B05199"/>
    <w:rsid w:val="00B054F3"/>
    <w:rsid w:val="00B116F2"/>
    <w:rsid w:val="00B11B2B"/>
    <w:rsid w:val="00B168A0"/>
    <w:rsid w:val="00B2356B"/>
    <w:rsid w:val="00B250AB"/>
    <w:rsid w:val="00B26D7A"/>
    <w:rsid w:val="00B31188"/>
    <w:rsid w:val="00B34A1F"/>
    <w:rsid w:val="00B4571F"/>
    <w:rsid w:val="00B51D60"/>
    <w:rsid w:val="00B5517D"/>
    <w:rsid w:val="00B56858"/>
    <w:rsid w:val="00B574EF"/>
    <w:rsid w:val="00B70ADA"/>
    <w:rsid w:val="00B71069"/>
    <w:rsid w:val="00B72803"/>
    <w:rsid w:val="00B9460E"/>
    <w:rsid w:val="00BA30B2"/>
    <w:rsid w:val="00BA5FA5"/>
    <w:rsid w:val="00BC7A86"/>
    <w:rsid w:val="00BD538D"/>
    <w:rsid w:val="00BE2FC0"/>
    <w:rsid w:val="00BE4EBA"/>
    <w:rsid w:val="00BF7B63"/>
    <w:rsid w:val="00C07CC3"/>
    <w:rsid w:val="00C10B2A"/>
    <w:rsid w:val="00C110AB"/>
    <w:rsid w:val="00C247F9"/>
    <w:rsid w:val="00C24CFD"/>
    <w:rsid w:val="00C336FD"/>
    <w:rsid w:val="00C42A00"/>
    <w:rsid w:val="00C4791D"/>
    <w:rsid w:val="00C47C68"/>
    <w:rsid w:val="00C5066E"/>
    <w:rsid w:val="00C57259"/>
    <w:rsid w:val="00C57777"/>
    <w:rsid w:val="00C577F7"/>
    <w:rsid w:val="00C61C4F"/>
    <w:rsid w:val="00C6330D"/>
    <w:rsid w:val="00C71E0D"/>
    <w:rsid w:val="00C726AB"/>
    <w:rsid w:val="00C733B5"/>
    <w:rsid w:val="00C7557F"/>
    <w:rsid w:val="00C76292"/>
    <w:rsid w:val="00C80152"/>
    <w:rsid w:val="00C844BF"/>
    <w:rsid w:val="00C9121C"/>
    <w:rsid w:val="00C944E1"/>
    <w:rsid w:val="00C96D86"/>
    <w:rsid w:val="00CC3CFE"/>
    <w:rsid w:val="00CD5FC9"/>
    <w:rsid w:val="00CD69A8"/>
    <w:rsid w:val="00CD7920"/>
    <w:rsid w:val="00D015DD"/>
    <w:rsid w:val="00D11174"/>
    <w:rsid w:val="00D117EB"/>
    <w:rsid w:val="00D13DAD"/>
    <w:rsid w:val="00D16F14"/>
    <w:rsid w:val="00D173A6"/>
    <w:rsid w:val="00D17DA1"/>
    <w:rsid w:val="00D25CD4"/>
    <w:rsid w:val="00D26369"/>
    <w:rsid w:val="00D2739C"/>
    <w:rsid w:val="00D317A8"/>
    <w:rsid w:val="00D323A7"/>
    <w:rsid w:val="00D41E36"/>
    <w:rsid w:val="00D4444D"/>
    <w:rsid w:val="00D50AC5"/>
    <w:rsid w:val="00D60663"/>
    <w:rsid w:val="00D7242D"/>
    <w:rsid w:val="00D8021D"/>
    <w:rsid w:val="00D81E44"/>
    <w:rsid w:val="00D87421"/>
    <w:rsid w:val="00D90EC0"/>
    <w:rsid w:val="00D93432"/>
    <w:rsid w:val="00D93B1A"/>
    <w:rsid w:val="00D9415F"/>
    <w:rsid w:val="00D9481F"/>
    <w:rsid w:val="00D95241"/>
    <w:rsid w:val="00DA11DF"/>
    <w:rsid w:val="00DA5039"/>
    <w:rsid w:val="00DA6B07"/>
    <w:rsid w:val="00DC094C"/>
    <w:rsid w:val="00DC3F40"/>
    <w:rsid w:val="00DC4AB0"/>
    <w:rsid w:val="00DC4FC7"/>
    <w:rsid w:val="00DC504D"/>
    <w:rsid w:val="00DC5D35"/>
    <w:rsid w:val="00DD167C"/>
    <w:rsid w:val="00DE517A"/>
    <w:rsid w:val="00DF0E4B"/>
    <w:rsid w:val="00DF5AB1"/>
    <w:rsid w:val="00E014D2"/>
    <w:rsid w:val="00E07B64"/>
    <w:rsid w:val="00E2075C"/>
    <w:rsid w:val="00E26B28"/>
    <w:rsid w:val="00E43B29"/>
    <w:rsid w:val="00E45D40"/>
    <w:rsid w:val="00E529A2"/>
    <w:rsid w:val="00E52C48"/>
    <w:rsid w:val="00E616B9"/>
    <w:rsid w:val="00E6453D"/>
    <w:rsid w:val="00E64DF6"/>
    <w:rsid w:val="00E65434"/>
    <w:rsid w:val="00E7321E"/>
    <w:rsid w:val="00E8111C"/>
    <w:rsid w:val="00E81C68"/>
    <w:rsid w:val="00E83707"/>
    <w:rsid w:val="00E9577E"/>
    <w:rsid w:val="00EA4F6B"/>
    <w:rsid w:val="00EA50D4"/>
    <w:rsid w:val="00EB3246"/>
    <w:rsid w:val="00EB4AEC"/>
    <w:rsid w:val="00EB632E"/>
    <w:rsid w:val="00ED0205"/>
    <w:rsid w:val="00ED6EDD"/>
    <w:rsid w:val="00ED7CAB"/>
    <w:rsid w:val="00EE5475"/>
    <w:rsid w:val="00EE7F43"/>
    <w:rsid w:val="00EF3A6E"/>
    <w:rsid w:val="00F05878"/>
    <w:rsid w:val="00F07151"/>
    <w:rsid w:val="00F11813"/>
    <w:rsid w:val="00F12394"/>
    <w:rsid w:val="00F15A45"/>
    <w:rsid w:val="00F160A6"/>
    <w:rsid w:val="00F22C53"/>
    <w:rsid w:val="00F26390"/>
    <w:rsid w:val="00F50ECA"/>
    <w:rsid w:val="00F51878"/>
    <w:rsid w:val="00F653B3"/>
    <w:rsid w:val="00F665CC"/>
    <w:rsid w:val="00F676C2"/>
    <w:rsid w:val="00F7425E"/>
    <w:rsid w:val="00F81B0C"/>
    <w:rsid w:val="00F84FC3"/>
    <w:rsid w:val="00F97163"/>
    <w:rsid w:val="00FA7D58"/>
    <w:rsid w:val="00FB08AC"/>
    <w:rsid w:val="00FB7323"/>
    <w:rsid w:val="00FC16DC"/>
    <w:rsid w:val="00FC466E"/>
    <w:rsid w:val="00FD039C"/>
    <w:rsid w:val="00FD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paragraph" w:customStyle="1" w:styleId="TableText0">
    <w:name w:val="TableText"/>
    <w:basedOn w:val="Normal"/>
    <w:link w:val="TableTextChar"/>
    <w:rsid w:val="00A1689A"/>
    <w:pPr>
      <w:spacing w:before="40" w:after="40" w:line="260" w:lineRule="atLeast"/>
      <w:contextualSpacing/>
    </w:pPr>
    <w:rPr>
      <w:rFonts w:eastAsia="Times New Roman" w:cs="Times New Roman"/>
      <w:lang w:eastAsia="en-GB"/>
    </w:rPr>
  </w:style>
  <w:style w:type="character" w:customStyle="1" w:styleId="TableTextChar">
    <w:name w:val="TableText Char"/>
    <w:basedOn w:val="DefaultParagraphFont"/>
    <w:link w:val="TableText0"/>
    <w:rsid w:val="00A1689A"/>
    <w:rPr>
      <w:rFonts w:ascii="Arial" w:eastAsia="Times New Roman" w:hAnsi="Arial" w:cs="Times New Roman"/>
      <w:lang w:eastAsia="en-GB"/>
    </w:rPr>
  </w:style>
  <w:style w:type="paragraph" w:customStyle="1" w:styleId="Content2">
    <w:name w:val="Content2"/>
    <w:basedOn w:val="Normal"/>
    <w:semiHidden/>
    <w:rsid w:val="00504B5C"/>
    <w:pPr>
      <w:tabs>
        <w:tab w:val="left" w:pos="1134"/>
        <w:tab w:val="right" w:pos="9639"/>
      </w:tabs>
      <w:spacing w:before="40" w:after="40" w:line="200" w:lineRule="atLeast"/>
      <w:ind w:left="1134" w:right="567" w:hanging="567"/>
    </w:pPr>
    <w:rPr>
      <w:rFonts w:eastAsia="Times New Roman" w:cs="Times New Roman"/>
      <w:sz w:val="20"/>
      <w:lang w:eastAsia="en-GB"/>
    </w:rPr>
  </w:style>
  <w:style w:type="character" w:customStyle="1" w:styleId="mw-headline">
    <w:name w:val="mw-headline"/>
    <w:basedOn w:val="DefaultParagraphFont"/>
    <w:rsid w:val="00185763"/>
  </w:style>
  <w:style w:type="character" w:styleId="Hyperlink">
    <w:name w:val="Hyperlink"/>
    <w:unhideWhenUsed/>
    <w:rsid w:val="0071368D"/>
    <w:rPr>
      <w:color w:val="0000FF"/>
      <w:u w:val="single"/>
    </w:rPr>
  </w:style>
  <w:style w:type="paragraph" w:customStyle="1" w:styleId="smallprint">
    <w:name w:val="small print"/>
    <w:basedOn w:val="Normal"/>
    <w:link w:val="smallprintChar"/>
    <w:qFormat/>
    <w:rsid w:val="0071368D"/>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71368D"/>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107D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paragraph" w:customStyle="1" w:styleId="TableText0">
    <w:name w:val="TableText"/>
    <w:basedOn w:val="Normal"/>
    <w:link w:val="TableTextChar"/>
    <w:rsid w:val="00A1689A"/>
    <w:pPr>
      <w:spacing w:before="40" w:after="40" w:line="260" w:lineRule="atLeast"/>
      <w:contextualSpacing/>
    </w:pPr>
    <w:rPr>
      <w:rFonts w:eastAsia="Times New Roman" w:cs="Times New Roman"/>
      <w:lang w:eastAsia="en-GB"/>
    </w:rPr>
  </w:style>
  <w:style w:type="character" w:customStyle="1" w:styleId="TableTextChar">
    <w:name w:val="TableText Char"/>
    <w:basedOn w:val="DefaultParagraphFont"/>
    <w:link w:val="TableText0"/>
    <w:rsid w:val="00A1689A"/>
    <w:rPr>
      <w:rFonts w:ascii="Arial" w:eastAsia="Times New Roman" w:hAnsi="Arial" w:cs="Times New Roman"/>
      <w:lang w:eastAsia="en-GB"/>
    </w:rPr>
  </w:style>
  <w:style w:type="paragraph" w:customStyle="1" w:styleId="Content2">
    <w:name w:val="Content2"/>
    <w:basedOn w:val="Normal"/>
    <w:semiHidden/>
    <w:rsid w:val="00504B5C"/>
    <w:pPr>
      <w:tabs>
        <w:tab w:val="left" w:pos="1134"/>
        <w:tab w:val="right" w:pos="9639"/>
      </w:tabs>
      <w:spacing w:before="40" w:after="40" w:line="200" w:lineRule="atLeast"/>
      <w:ind w:left="1134" w:right="567" w:hanging="567"/>
    </w:pPr>
    <w:rPr>
      <w:rFonts w:eastAsia="Times New Roman" w:cs="Times New Roman"/>
      <w:sz w:val="20"/>
      <w:lang w:eastAsia="en-GB"/>
    </w:rPr>
  </w:style>
  <w:style w:type="character" w:customStyle="1" w:styleId="mw-headline">
    <w:name w:val="mw-headline"/>
    <w:basedOn w:val="DefaultParagraphFont"/>
    <w:rsid w:val="00185763"/>
  </w:style>
  <w:style w:type="character" w:styleId="Hyperlink">
    <w:name w:val="Hyperlink"/>
    <w:unhideWhenUsed/>
    <w:rsid w:val="0071368D"/>
    <w:rPr>
      <w:color w:val="0000FF"/>
      <w:u w:val="single"/>
    </w:rPr>
  </w:style>
  <w:style w:type="paragraph" w:customStyle="1" w:styleId="smallprint">
    <w:name w:val="small print"/>
    <w:basedOn w:val="Normal"/>
    <w:link w:val="smallprintChar"/>
    <w:qFormat/>
    <w:rsid w:val="0071368D"/>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71368D"/>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107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321"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321"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3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3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OCR A an AS History Unit Y104 Scheme of Work</vt:lpstr>
    </vt:vector>
  </TitlesOfParts>
  <Company>Cambridge Assessment</Company>
  <LinksUpToDate>false</LinksUpToDate>
  <CharactersWithSpaces>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Y321 Scheme of Work</dc:title>
  <dc:creator>OCR</dc:creator>
  <cp:keywords>A Level; History; SOW; Y321; Middle East</cp:keywords>
  <cp:lastModifiedBy>Nicola Williams</cp:lastModifiedBy>
  <cp:revision>4</cp:revision>
  <cp:lastPrinted>2015-03-03T12:05:00Z</cp:lastPrinted>
  <dcterms:created xsi:type="dcterms:W3CDTF">2017-06-29T13:34:00Z</dcterms:created>
  <dcterms:modified xsi:type="dcterms:W3CDTF">2017-06-30T10:26:00Z</dcterms:modified>
</cp:coreProperties>
</file>