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10" w:rsidRPr="00CF4D10" w:rsidRDefault="001114F7" w:rsidP="00CF4D10">
      <w:pPr>
        <w:pStyle w:val="Heading2"/>
      </w:pPr>
      <w:bookmarkStart w:id="0" w:name="_GoBack"/>
      <w:bookmarkEnd w:id="0"/>
      <w:r>
        <w:t>Resources</w:t>
      </w:r>
    </w:p>
    <w:p w:rsidR="00CF4D10" w:rsidRPr="00CF4D10" w:rsidRDefault="001114F7" w:rsidP="00CF4D10">
      <w:pPr>
        <w:pStyle w:val="Heading3"/>
      </w:pPr>
      <w:r w:rsidRPr="008D45AA">
        <w:t xml:space="preserve">What resources </w:t>
      </w:r>
      <w:r>
        <w:t>does</w:t>
      </w:r>
      <w:r w:rsidRPr="008D45AA">
        <w:t xml:space="preserve"> OCR provide for the new reformed GCE psychology?</w:t>
      </w:r>
    </w:p>
    <w:p w:rsidR="001114F7" w:rsidRDefault="001114F7" w:rsidP="001114F7">
      <w:pPr>
        <w:rPr>
          <w:rFonts w:cs="Arial"/>
        </w:rPr>
      </w:pPr>
      <w:r>
        <w:rPr>
          <w:rFonts w:cs="Arial"/>
        </w:rPr>
        <w:t>As it currently stands we have various resources to help with the preparation and teaching of the new reformed GCE psychology specification, as well as resources for assessment preparation.</w:t>
      </w:r>
    </w:p>
    <w:p w:rsidR="001114F7" w:rsidRDefault="001114F7" w:rsidP="001114F7">
      <w:pPr>
        <w:rPr>
          <w:rFonts w:cs="Arial"/>
        </w:rPr>
      </w:pPr>
      <w:r>
        <w:rPr>
          <w:rFonts w:cs="Arial"/>
        </w:rPr>
        <w:t>Below you will find a list of all the resources we provide on the Psychology qualification page.</w:t>
      </w:r>
    </w:p>
    <w:tbl>
      <w:tblPr>
        <w:tblW w:w="9889" w:type="dxa"/>
        <w:tblBorders>
          <w:top w:val="single" w:sz="4" w:space="0" w:color="A778A2"/>
          <w:left w:val="single" w:sz="4" w:space="0" w:color="A778A2"/>
          <w:bottom w:val="single" w:sz="4" w:space="0" w:color="A778A2"/>
          <w:right w:val="single" w:sz="4" w:space="0" w:color="A778A2"/>
          <w:insideH w:val="single" w:sz="4" w:space="0" w:color="A778A2"/>
          <w:insideV w:val="single" w:sz="4" w:space="0" w:color="A778A2"/>
        </w:tblBorders>
        <w:tblLayout w:type="fixed"/>
        <w:tblLook w:val="04A0" w:firstRow="1" w:lastRow="0" w:firstColumn="1" w:lastColumn="0" w:noHBand="0" w:noVBand="1"/>
      </w:tblPr>
      <w:tblGrid>
        <w:gridCol w:w="2093"/>
        <w:gridCol w:w="7796"/>
      </w:tblGrid>
      <w:tr w:rsidR="001114F7" w:rsidRPr="008F629F" w:rsidTr="00B213FD">
        <w:trPr>
          <w:tblHeader/>
        </w:trPr>
        <w:tc>
          <w:tcPr>
            <w:tcW w:w="9889" w:type="dxa"/>
            <w:gridSpan w:val="2"/>
            <w:shd w:val="clear" w:color="auto" w:fill="DCCADA"/>
          </w:tcPr>
          <w:p w:rsidR="001114F7" w:rsidRPr="00EF6526" w:rsidRDefault="001114F7" w:rsidP="00CF4D10">
            <w:pPr>
              <w:spacing w:before="120" w:after="120" w:line="240" w:lineRule="auto"/>
              <w:rPr>
                <w:b/>
              </w:rPr>
            </w:pPr>
            <w:r w:rsidRPr="001114F7">
              <w:rPr>
                <w:b/>
              </w:rPr>
              <w:t>Preparation for the new specification</w:t>
            </w:r>
          </w:p>
        </w:tc>
      </w:tr>
      <w:tr w:rsidR="001114F7" w:rsidRPr="00CF4D10" w:rsidTr="00CF4D10">
        <w:tc>
          <w:tcPr>
            <w:tcW w:w="2093" w:type="dxa"/>
            <w:shd w:val="clear" w:color="auto" w:fill="auto"/>
          </w:tcPr>
          <w:p w:rsidR="001114F7" w:rsidRPr="00CF4D10" w:rsidRDefault="001114F7" w:rsidP="001114F7">
            <w:pPr>
              <w:pStyle w:val="ListParagraph"/>
              <w:spacing w:after="200"/>
              <w:ind w:left="0"/>
              <w:rPr>
                <w:b/>
              </w:rPr>
            </w:pPr>
            <w:r w:rsidRPr="00CF4D10">
              <w:rPr>
                <w:rFonts w:cs="Arial"/>
              </w:rPr>
              <w:t xml:space="preserve">Course specifications </w:t>
            </w:r>
          </w:p>
        </w:tc>
        <w:tc>
          <w:tcPr>
            <w:tcW w:w="7796" w:type="dxa"/>
            <w:shd w:val="clear" w:color="auto" w:fill="auto"/>
          </w:tcPr>
          <w:p w:rsidR="001114F7" w:rsidRPr="00CF4D10" w:rsidRDefault="001114F7" w:rsidP="001114F7">
            <w:pPr>
              <w:pStyle w:val="ListParagraph"/>
              <w:spacing w:after="200"/>
              <w:ind w:left="0"/>
            </w:pPr>
            <w:r w:rsidRPr="00CF4D10">
              <w:rPr>
                <w:rFonts w:cs="Arial"/>
              </w:rPr>
              <w:t xml:space="preserve">The accredited H167 and H567 specifications are available on the website for you to </w:t>
            </w:r>
            <w:r w:rsidR="004A34B3">
              <w:rPr>
                <w:rFonts w:cs="Arial"/>
              </w:rPr>
              <w:t>look through and see w</w:t>
            </w:r>
            <w:r w:rsidRPr="00CF4D10">
              <w:rPr>
                <w:rFonts w:cs="Arial"/>
              </w:rPr>
              <w:t>hat the specification entails.</w:t>
            </w:r>
          </w:p>
        </w:tc>
      </w:tr>
      <w:tr w:rsidR="001114F7" w:rsidRPr="00CF4D10" w:rsidTr="00CF4D10">
        <w:tc>
          <w:tcPr>
            <w:tcW w:w="2093" w:type="dxa"/>
            <w:shd w:val="clear" w:color="auto" w:fill="auto"/>
          </w:tcPr>
          <w:p w:rsidR="001114F7" w:rsidRPr="00CF4D10" w:rsidRDefault="001114F7" w:rsidP="001114F7">
            <w:pPr>
              <w:pStyle w:val="ListParagraph"/>
              <w:spacing w:after="200"/>
              <w:ind w:left="0"/>
              <w:rPr>
                <w:b/>
              </w:rPr>
            </w:pPr>
            <w:r w:rsidRPr="00CF4D10">
              <w:rPr>
                <w:rFonts w:cs="Arial"/>
              </w:rPr>
              <w:t>Links to CPD events</w:t>
            </w:r>
          </w:p>
        </w:tc>
        <w:tc>
          <w:tcPr>
            <w:tcW w:w="7796" w:type="dxa"/>
            <w:shd w:val="clear" w:color="auto" w:fill="auto"/>
          </w:tcPr>
          <w:p w:rsidR="001114F7" w:rsidRPr="00CF4D10" w:rsidRDefault="001114F7" w:rsidP="001114F7">
            <w:pPr>
              <w:pStyle w:val="ListParagraph"/>
              <w:spacing w:after="200"/>
              <w:ind w:left="0"/>
            </w:pPr>
            <w:r w:rsidRPr="00CF4D10">
              <w:rPr>
                <w:rFonts w:cs="Arial"/>
              </w:rPr>
              <w:t>OCR provides various face to face and online CPD events for teachers to learn more about delivering our qualifications. All events are bookable through the CPD Hub.</w:t>
            </w:r>
          </w:p>
        </w:tc>
      </w:tr>
      <w:tr w:rsidR="001114F7" w:rsidRPr="00CF4D10" w:rsidTr="00CF4D10">
        <w:tc>
          <w:tcPr>
            <w:tcW w:w="2093" w:type="dxa"/>
            <w:shd w:val="clear" w:color="auto" w:fill="auto"/>
          </w:tcPr>
          <w:p w:rsidR="001114F7" w:rsidRPr="00CF4D10" w:rsidRDefault="001114F7" w:rsidP="001114F7">
            <w:pPr>
              <w:pStyle w:val="ListParagraph"/>
              <w:spacing w:after="200"/>
              <w:ind w:left="0"/>
              <w:rPr>
                <w:b/>
              </w:rPr>
            </w:pPr>
            <w:r w:rsidRPr="00CF4D10">
              <w:rPr>
                <w:rFonts w:cs="Arial"/>
              </w:rPr>
              <w:t>Notices to centres</w:t>
            </w:r>
          </w:p>
        </w:tc>
        <w:tc>
          <w:tcPr>
            <w:tcW w:w="7796" w:type="dxa"/>
            <w:shd w:val="clear" w:color="auto" w:fill="auto"/>
          </w:tcPr>
          <w:p w:rsidR="001114F7" w:rsidRPr="00CF4D10" w:rsidRDefault="001114F7" w:rsidP="001114F7">
            <w:pPr>
              <w:pStyle w:val="ListParagraph"/>
              <w:spacing w:after="200"/>
              <w:ind w:left="0"/>
            </w:pPr>
            <w:r w:rsidRPr="00CF4D10">
              <w:rPr>
                <w:rFonts w:cs="Arial"/>
              </w:rPr>
              <w:t>An online system which provides centres with updates regarding the specification.</w:t>
            </w:r>
          </w:p>
        </w:tc>
      </w:tr>
      <w:tr w:rsidR="001114F7" w:rsidRPr="00CF4D10" w:rsidTr="00CF4D10">
        <w:tc>
          <w:tcPr>
            <w:tcW w:w="2093" w:type="dxa"/>
            <w:shd w:val="clear" w:color="auto" w:fill="auto"/>
          </w:tcPr>
          <w:p w:rsidR="001114F7" w:rsidRPr="00CF4D10" w:rsidRDefault="001114F7" w:rsidP="001114F7">
            <w:pPr>
              <w:pStyle w:val="ListParagraph"/>
              <w:spacing w:after="200"/>
              <w:ind w:left="0"/>
              <w:rPr>
                <w:b/>
              </w:rPr>
            </w:pPr>
            <w:r w:rsidRPr="00CF4D10">
              <w:rPr>
                <w:rFonts w:cs="Arial"/>
              </w:rPr>
              <w:t>Summary brochures</w:t>
            </w:r>
          </w:p>
        </w:tc>
        <w:tc>
          <w:tcPr>
            <w:tcW w:w="7796" w:type="dxa"/>
            <w:shd w:val="clear" w:color="auto" w:fill="auto"/>
          </w:tcPr>
          <w:p w:rsidR="001114F7" w:rsidRPr="00CF4D10" w:rsidRDefault="001114F7" w:rsidP="001114F7">
            <w:pPr>
              <w:pStyle w:val="ListParagraph"/>
              <w:spacing w:after="200"/>
              <w:ind w:left="0"/>
            </w:pPr>
            <w:r w:rsidRPr="00CF4D10">
              <w:rPr>
                <w:rFonts w:cs="Arial"/>
              </w:rPr>
              <w:t>An overview of our AS and A Level Psychology qualifications for first teaching September 2015.</w:t>
            </w:r>
          </w:p>
        </w:tc>
      </w:tr>
      <w:tr w:rsidR="001114F7" w:rsidRPr="00CF4D10" w:rsidTr="00CF4D10">
        <w:tc>
          <w:tcPr>
            <w:tcW w:w="2093" w:type="dxa"/>
            <w:shd w:val="clear" w:color="auto" w:fill="auto"/>
          </w:tcPr>
          <w:p w:rsidR="001114F7" w:rsidRPr="00CF4D10" w:rsidRDefault="001114F7" w:rsidP="001114F7">
            <w:pPr>
              <w:pStyle w:val="ListParagraph"/>
              <w:spacing w:after="200"/>
              <w:ind w:left="0"/>
              <w:rPr>
                <w:b/>
              </w:rPr>
            </w:pPr>
            <w:r w:rsidRPr="00CF4D10">
              <w:rPr>
                <w:rFonts w:cs="Arial"/>
              </w:rPr>
              <w:t>Switching information</w:t>
            </w:r>
          </w:p>
        </w:tc>
        <w:tc>
          <w:tcPr>
            <w:tcW w:w="7796" w:type="dxa"/>
            <w:shd w:val="clear" w:color="auto" w:fill="auto"/>
          </w:tcPr>
          <w:p w:rsidR="001114F7" w:rsidRPr="00CF4D10" w:rsidRDefault="001114F7" w:rsidP="001114F7">
            <w:pPr>
              <w:pStyle w:val="ListParagraph"/>
              <w:spacing w:after="200"/>
              <w:ind w:left="0"/>
            </w:pPr>
            <w:r w:rsidRPr="00CF4D10">
              <w:rPr>
                <w:rFonts w:cs="Arial"/>
              </w:rPr>
              <w:t>We have provided a switch pack to help you decide which exam board to choose for this specification.</w:t>
            </w:r>
          </w:p>
        </w:tc>
      </w:tr>
    </w:tbl>
    <w:p w:rsidR="00CF4D10" w:rsidRDefault="00CF4D10" w:rsidP="00CF4D10">
      <w:pPr>
        <w:spacing w:after="0"/>
        <w:rPr>
          <w:b/>
        </w:rPr>
      </w:pPr>
    </w:p>
    <w:tbl>
      <w:tblPr>
        <w:tblW w:w="9889" w:type="dxa"/>
        <w:tblBorders>
          <w:top w:val="single" w:sz="4" w:space="0" w:color="A778A2"/>
          <w:left w:val="single" w:sz="4" w:space="0" w:color="A778A2"/>
          <w:bottom w:val="single" w:sz="4" w:space="0" w:color="A778A2"/>
          <w:right w:val="single" w:sz="4" w:space="0" w:color="A778A2"/>
          <w:insideH w:val="single" w:sz="4" w:space="0" w:color="A778A2"/>
          <w:insideV w:val="single" w:sz="4" w:space="0" w:color="A778A2"/>
        </w:tblBorders>
        <w:tblLayout w:type="fixed"/>
        <w:tblLook w:val="04A0" w:firstRow="1" w:lastRow="0" w:firstColumn="1" w:lastColumn="0" w:noHBand="0" w:noVBand="1"/>
      </w:tblPr>
      <w:tblGrid>
        <w:gridCol w:w="2235"/>
        <w:gridCol w:w="7654"/>
      </w:tblGrid>
      <w:tr w:rsidR="00CF4D10" w:rsidRPr="008F629F" w:rsidTr="00B213FD">
        <w:trPr>
          <w:tblHeader/>
        </w:trPr>
        <w:tc>
          <w:tcPr>
            <w:tcW w:w="9889" w:type="dxa"/>
            <w:gridSpan w:val="2"/>
            <w:shd w:val="clear" w:color="auto" w:fill="DCCADA"/>
          </w:tcPr>
          <w:p w:rsidR="00CF4D10" w:rsidRPr="00EF6526" w:rsidRDefault="00CF4D10" w:rsidP="00CF4D10">
            <w:pPr>
              <w:spacing w:before="120" w:after="120" w:line="240" w:lineRule="auto"/>
              <w:rPr>
                <w:b/>
              </w:rPr>
            </w:pPr>
            <w:r>
              <w:rPr>
                <w:b/>
              </w:rPr>
              <w:t>Assessment preparation</w:t>
            </w:r>
          </w:p>
        </w:tc>
      </w:tr>
      <w:tr w:rsidR="00CF4D10" w:rsidRPr="00CF4D10" w:rsidTr="00B213FD">
        <w:tc>
          <w:tcPr>
            <w:tcW w:w="2235" w:type="dxa"/>
            <w:shd w:val="clear" w:color="auto" w:fill="auto"/>
          </w:tcPr>
          <w:p w:rsidR="00CF4D10" w:rsidRPr="00CF4D10" w:rsidRDefault="00CF4D10" w:rsidP="00B213FD">
            <w:pPr>
              <w:pStyle w:val="ListParagraph"/>
              <w:spacing w:after="200"/>
              <w:ind w:left="0"/>
              <w:rPr>
                <w:b/>
              </w:rPr>
            </w:pPr>
            <w:r w:rsidRPr="00CF4D10">
              <w:rPr>
                <w:rFonts w:cs="Arial"/>
              </w:rPr>
              <w:t>Candidate exemplars</w:t>
            </w:r>
          </w:p>
        </w:tc>
        <w:tc>
          <w:tcPr>
            <w:tcW w:w="7654" w:type="dxa"/>
            <w:shd w:val="clear" w:color="auto" w:fill="auto"/>
          </w:tcPr>
          <w:p w:rsidR="00CF4D10" w:rsidRPr="00CF4D10" w:rsidRDefault="00CF4D10" w:rsidP="00B213FD">
            <w:pPr>
              <w:pStyle w:val="ListParagraph"/>
              <w:spacing w:after="200"/>
              <w:ind w:left="0"/>
            </w:pPr>
            <w:r w:rsidRPr="00CF4D10">
              <w:rPr>
                <w:rFonts w:cs="Arial"/>
              </w:rPr>
              <w:t>Examples of answers to the Sample Assessment Material and how they may be marked.</w:t>
            </w:r>
          </w:p>
        </w:tc>
      </w:tr>
      <w:tr w:rsidR="00CF4D10" w:rsidRPr="00CF4D10" w:rsidTr="00B213FD">
        <w:tc>
          <w:tcPr>
            <w:tcW w:w="2235" w:type="dxa"/>
            <w:shd w:val="clear" w:color="auto" w:fill="auto"/>
          </w:tcPr>
          <w:p w:rsidR="00CF4D10" w:rsidRPr="00CF4D10" w:rsidRDefault="00CF4D10" w:rsidP="00B213FD">
            <w:pPr>
              <w:pStyle w:val="ListParagraph"/>
              <w:spacing w:after="200"/>
              <w:ind w:left="0"/>
              <w:rPr>
                <w:b/>
              </w:rPr>
            </w:pPr>
            <w:r w:rsidRPr="00CF4D10">
              <w:rPr>
                <w:rFonts w:cs="Arial"/>
              </w:rPr>
              <w:t>Examiners’ reports</w:t>
            </w:r>
          </w:p>
        </w:tc>
        <w:tc>
          <w:tcPr>
            <w:tcW w:w="7654" w:type="dxa"/>
            <w:shd w:val="clear" w:color="auto" w:fill="auto"/>
          </w:tcPr>
          <w:p w:rsidR="00CF4D10" w:rsidRPr="00CF4D10" w:rsidRDefault="00CF4D10" w:rsidP="00B213FD">
            <w:pPr>
              <w:pStyle w:val="ListParagraph"/>
              <w:spacing w:after="200"/>
              <w:ind w:left="0"/>
            </w:pPr>
            <w:r w:rsidRPr="00CF4D10">
              <w:rPr>
                <w:rFonts w:cs="Arial"/>
              </w:rPr>
              <w:t>Provides information on the performance of candidates from previous exams which it is hoped will be useful to teachers in their preparation of candidates for future examinations.</w:t>
            </w:r>
          </w:p>
        </w:tc>
      </w:tr>
      <w:tr w:rsidR="00CF4D10" w:rsidRPr="00CF4D10" w:rsidTr="00B213FD">
        <w:tc>
          <w:tcPr>
            <w:tcW w:w="2235" w:type="dxa"/>
            <w:shd w:val="clear" w:color="auto" w:fill="auto"/>
          </w:tcPr>
          <w:p w:rsidR="00CF4D10" w:rsidRPr="00CF4D10" w:rsidRDefault="00CF4D10" w:rsidP="00B213FD">
            <w:pPr>
              <w:pStyle w:val="ListParagraph"/>
              <w:spacing w:after="200"/>
              <w:ind w:left="0"/>
              <w:rPr>
                <w:b/>
              </w:rPr>
            </w:pPr>
            <w:r w:rsidRPr="00CF4D10">
              <w:rPr>
                <w:rFonts w:cs="Arial"/>
              </w:rPr>
              <w:t>Question banks</w:t>
            </w:r>
          </w:p>
        </w:tc>
        <w:tc>
          <w:tcPr>
            <w:tcW w:w="7654" w:type="dxa"/>
            <w:shd w:val="clear" w:color="auto" w:fill="auto"/>
          </w:tcPr>
          <w:p w:rsidR="00CF4D10" w:rsidRPr="00CF4D10" w:rsidRDefault="00CF4D10" w:rsidP="00B213FD">
            <w:pPr>
              <w:pStyle w:val="ListParagraph"/>
              <w:spacing w:after="200"/>
              <w:ind w:left="0"/>
            </w:pPr>
            <w:r w:rsidRPr="00CF4D10">
              <w:rPr>
                <w:rFonts w:cs="Arial"/>
              </w:rPr>
              <w:t>Available for Components 1 and 2</w:t>
            </w:r>
            <w:r w:rsidR="004A34B3">
              <w:rPr>
                <w:rFonts w:cs="Arial"/>
              </w:rPr>
              <w:t>,</w:t>
            </w:r>
            <w:r w:rsidRPr="00CF4D10">
              <w:rPr>
                <w:rFonts w:cs="Arial"/>
              </w:rPr>
              <w:t xml:space="preserve"> the question banks propose different types of questions that students may face.</w:t>
            </w:r>
          </w:p>
        </w:tc>
      </w:tr>
      <w:tr w:rsidR="00CF4D10" w:rsidRPr="00CF4D10" w:rsidTr="00B213FD">
        <w:tc>
          <w:tcPr>
            <w:tcW w:w="2235" w:type="dxa"/>
            <w:shd w:val="clear" w:color="auto" w:fill="auto"/>
          </w:tcPr>
          <w:p w:rsidR="00CF4D10" w:rsidRPr="00CF4D10" w:rsidRDefault="00CF4D10" w:rsidP="00B213FD">
            <w:pPr>
              <w:pStyle w:val="ListParagraph"/>
              <w:spacing w:after="200"/>
              <w:ind w:left="0"/>
              <w:rPr>
                <w:b/>
              </w:rPr>
            </w:pPr>
            <w:r w:rsidRPr="00CF4D10">
              <w:rPr>
                <w:rFonts w:cs="Arial"/>
              </w:rPr>
              <w:t>SAMs</w:t>
            </w:r>
          </w:p>
        </w:tc>
        <w:tc>
          <w:tcPr>
            <w:tcW w:w="7654" w:type="dxa"/>
            <w:shd w:val="clear" w:color="auto" w:fill="auto"/>
          </w:tcPr>
          <w:p w:rsidR="00CF4D10" w:rsidRPr="00CF4D10" w:rsidRDefault="00CF4D10" w:rsidP="00B213FD">
            <w:pPr>
              <w:pStyle w:val="ListParagraph"/>
              <w:spacing w:after="200"/>
              <w:ind w:left="0"/>
            </w:pPr>
            <w:r w:rsidRPr="00CF4D10">
              <w:rPr>
                <w:rFonts w:cs="Arial"/>
              </w:rPr>
              <w:t>Examples of Sample Assessment Materials.</w:t>
            </w:r>
          </w:p>
        </w:tc>
      </w:tr>
      <w:tr w:rsidR="00CF4D10" w:rsidRPr="00CF4D10" w:rsidTr="00B213FD">
        <w:tc>
          <w:tcPr>
            <w:tcW w:w="2235" w:type="dxa"/>
            <w:shd w:val="clear" w:color="auto" w:fill="auto"/>
          </w:tcPr>
          <w:p w:rsidR="00CF4D10" w:rsidRPr="00CF4D10" w:rsidRDefault="00CF4D10" w:rsidP="00B213FD">
            <w:pPr>
              <w:pStyle w:val="ListParagraph"/>
              <w:spacing w:after="200"/>
              <w:ind w:left="0"/>
              <w:rPr>
                <w:b/>
              </w:rPr>
            </w:pPr>
            <w:r w:rsidRPr="00CF4D10">
              <w:rPr>
                <w:rFonts w:cs="Arial"/>
              </w:rPr>
              <w:t>Practice papers and mark schemes (via interchange).</w:t>
            </w:r>
          </w:p>
        </w:tc>
        <w:tc>
          <w:tcPr>
            <w:tcW w:w="7654" w:type="dxa"/>
            <w:shd w:val="clear" w:color="auto" w:fill="auto"/>
          </w:tcPr>
          <w:p w:rsidR="00CF4D10" w:rsidRPr="00CF4D10" w:rsidRDefault="00CF4D10" w:rsidP="00B213FD">
            <w:pPr>
              <w:pStyle w:val="ListParagraph"/>
              <w:spacing w:after="200"/>
              <w:ind w:left="0"/>
            </w:pPr>
            <w:r w:rsidRPr="00CF4D10">
              <w:rPr>
                <w:rFonts w:cs="Arial"/>
              </w:rPr>
              <w:t>To help you prepare your students for their</w:t>
            </w:r>
            <w:r w:rsidRPr="00CF4D10">
              <w:t> </w:t>
            </w:r>
            <w:r w:rsidRPr="00CF4D10">
              <w:rPr>
                <w:b/>
                <w:bCs/>
              </w:rPr>
              <w:t>AS/A Level assessments</w:t>
            </w:r>
            <w:r w:rsidRPr="00CF4D10">
              <w:t> </w:t>
            </w:r>
            <w:r w:rsidRPr="00CF4D10">
              <w:rPr>
                <w:rFonts w:cs="Arial"/>
              </w:rPr>
              <w:t>we have developed a set of</w:t>
            </w:r>
            <w:r w:rsidRPr="00CF4D10">
              <w:t> </w:t>
            </w:r>
            <w:r w:rsidRPr="00CF4D10">
              <w:rPr>
                <w:b/>
                <w:bCs/>
              </w:rPr>
              <w:t>practice papers</w:t>
            </w:r>
            <w:r w:rsidRPr="00CF4D10">
              <w:t> </w:t>
            </w:r>
            <w:r w:rsidRPr="00CF4D10">
              <w:rPr>
                <w:rFonts w:cs="Arial"/>
              </w:rPr>
              <w:t>for your subject.</w:t>
            </w:r>
          </w:p>
        </w:tc>
      </w:tr>
    </w:tbl>
    <w:p w:rsidR="00CF4D10" w:rsidRPr="00CF4D10" w:rsidRDefault="00CF4D10" w:rsidP="00CF4D10">
      <w:pPr>
        <w:sectPr w:rsidR="00CF4D10" w:rsidRPr="00CF4D10" w:rsidSect="0051446F">
          <w:headerReference w:type="default" r:id="rId9"/>
          <w:footerReference w:type="default" r:id="rId10"/>
          <w:pgSz w:w="11906" w:h="16838" w:code="9"/>
          <w:pgMar w:top="873" w:right="1133" w:bottom="1440" w:left="1134" w:header="709" w:footer="680" w:gutter="0"/>
          <w:cols w:space="708"/>
          <w:docGrid w:linePitch="360"/>
        </w:sectPr>
      </w:pPr>
    </w:p>
    <w:tbl>
      <w:tblPr>
        <w:tblW w:w="9889" w:type="dxa"/>
        <w:tblBorders>
          <w:top w:val="single" w:sz="4" w:space="0" w:color="A778A2"/>
          <w:left w:val="single" w:sz="4" w:space="0" w:color="A778A2"/>
          <w:bottom w:val="single" w:sz="4" w:space="0" w:color="A778A2"/>
          <w:right w:val="single" w:sz="4" w:space="0" w:color="A778A2"/>
          <w:insideH w:val="single" w:sz="4" w:space="0" w:color="A778A2"/>
          <w:insideV w:val="single" w:sz="4" w:space="0" w:color="A778A2"/>
        </w:tblBorders>
        <w:tblLayout w:type="fixed"/>
        <w:tblLook w:val="04A0" w:firstRow="1" w:lastRow="0" w:firstColumn="1" w:lastColumn="0" w:noHBand="0" w:noVBand="1"/>
      </w:tblPr>
      <w:tblGrid>
        <w:gridCol w:w="2235"/>
        <w:gridCol w:w="7654"/>
      </w:tblGrid>
      <w:tr w:rsidR="001114F7" w:rsidRPr="008F629F" w:rsidTr="00B213FD">
        <w:trPr>
          <w:tblHeader/>
        </w:trPr>
        <w:tc>
          <w:tcPr>
            <w:tcW w:w="9889" w:type="dxa"/>
            <w:gridSpan w:val="2"/>
            <w:shd w:val="clear" w:color="auto" w:fill="DCCADA"/>
          </w:tcPr>
          <w:p w:rsidR="001114F7" w:rsidRPr="00EF6526" w:rsidRDefault="001114F7" w:rsidP="00B213FD">
            <w:pPr>
              <w:spacing w:before="120" w:after="120"/>
              <w:rPr>
                <w:b/>
              </w:rPr>
            </w:pPr>
            <w:r>
              <w:rPr>
                <w:b/>
              </w:rPr>
              <w:lastRenderedPageBreak/>
              <w:t>Teaching resources</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Co-teaching guides</w:t>
            </w:r>
          </w:p>
        </w:tc>
        <w:tc>
          <w:tcPr>
            <w:tcW w:w="7654" w:type="dxa"/>
            <w:shd w:val="clear" w:color="auto" w:fill="auto"/>
          </w:tcPr>
          <w:p w:rsidR="001114F7" w:rsidRPr="00CF4D10" w:rsidRDefault="001114F7" w:rsidP="001114F7">
            <w:pPr>
              <w:pStyle w:val="ListParagraph"/>
              <w:spacing w:after="200"/>
              <w:ind w:left="0"/>
            </w:pPr>
            <w:r w:rsidRPr="00CF4D10">
              <w:rPr>
                <w:rFonts w:cs="Arial"/>
              </w:rPr>
              <w:t>This guide provides sample curriculum plans for delivering the AS Level and A Level and for the co-teaching of both</w:t>
            </w:r>
            <w:r w:rsidR="004A34B3">
              <w:rPr>
                <w:rFonts w:cs="Arial"/>
              </w:rPr>
              <w:t>.</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Curriculum plans</w:t>
            </w:r>
          </w:p>
        </w:tc>
        <w:tc>
          <w:tcPr>
            <w:tcW w:w="7654" w:type="dxa"/>
            <w:shd w:val="clear" w:color="auto" w:fill="auto"/>
          </w:tcPr>
          <w:p w:rsidR="001114F7" w:rsidRPr="00CF4D10" w:rsidRDefault="001114F7" w:rsidP="001114F7">
            <w:pPr>
              <w:pStyle w:val="ListParagraph"/>
              <w:spacing w:after="200"/>
              <w:ind w:left="0"/>
              <w:rPr>
                <w:rFonts w:cs="Arial"/>
                <w:i/>
              </w:rPr>
            </w:pPr>
            <w:r w:rsidRPr="00CF4D10">
              <w:rPr>
                <w:rFonts w:cs="Arial"/>
              </w:rPr>
              <w:t xml:space="preserve">Guides which suggests possible scheme of work. </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Delivery guides</w:t>
            </w:r>
          </w:p>
        </w:tc>
        <w:tc>
          <w:tcPr>
            <w:tcW w:w="7654" w:type="dxa"/>
            <w:shd w:val="clear" w:color="auto" w:fill="auto"/>
          </w:tcPr>
          <w:p w:rsidR="001114F7" w:rsidRPr="00CF4D10" w:rsidRDefault="001114F7" w:rsidP="001114F7">
            <w:pPr>
              <w:pStyle w:val="ListParagraph"/>
              <w:spacing w:after="200"/>
              <w:ind w:left="0"/>
              <w:rPr>
                <w:rFonts w:cs="Arial"/>
              </w:rPr>
            </w:pPr>
            <w:r w:rsidRPr="00CF4D10">
              <w:rPr>
                <w:rFonts w:cs="Arial"/>
              </w:rPr>
              <w:t>The delivery guides are available for Components 2 and 3 and offer a wide range of teaching ideas and engaging classroom activities to support the delivery each component. NOTE: future delivery guides will not be available in the PDF format; however they can still be printed from the online tool.</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Key research guides</w:t>
            </w:r>
          </w:p>
        </w:tc>
        <w:tc>
          <w:tcPr>
            <w:tcW w:w="7654" w:type="dxa"/>
            <w:shd w:val="clear" w:color="auto" w:fill="auto"/>
          </w:tcPr>
          <w:p w:rsidR="001114F7" w:rsidRPr="00CF4D10" w:rsidRDefault="001114F7" w:rsidP="001114F7">
            <w:pPr>
              <w:pStyle w:val="ListParagraph"/>
              <w:spacing w:after="200"/>
              <w:ind w:left="0"/>
              <w:rPr>
                <w:rFonts w:cs="Arial"/>
                <w:i/>
              </w:rPr>
            </w:pPr>
            <w:r w:rsidRPr="00CF4D10">
              <w:rPr>
                <w:rFonts w:cs="Arial"/>
              </w:rPr>
              <w:t>These guides are available for component 3 and provide a guide to the key research studies including an outline of the theories on which they are based, procedures followed, key findings and possible conclusions.</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Lesson elements</w:t>
            </w:r>
          </w:p>
        </w:tc>
        <w:tc>
          <w:tcPr>
            <w:tcW w:w="7654" w:type="dxa"/>
            <w:shd w:val="clear" w:color="auto" w:fill="auto"/>
          </w:tcPr>
          <w:p w:rsidR="001114F7" w:rsidRPr="00CF4D10" w:rsidRDefault="001114F7" w:rsidP="001114F7">
            <w:pPr>
              <w:pStyle w:val="ListParagraph"/>
              <w:spacing w:after="200"/>
              <w:ind w:left="0"/>
            </w:pPr>
            <w:r w:rsidRPr="00CF4D10">
              <w:rPr>
                <w:rFonts w:cs="Arial"/>
              </w:rPr>
              <w:t>Provide worksheets with teacher instructions which are designed to support the teaching and learning of the specification.</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Podcasts</w:t>
            </w:r>
          </w:p>
        </w:tc>
        <w:tc>
          <w:tcPr>
            <w:tcW w:w="7654" w:type="dxa"/>
            <w:shd w:val="clear" w:color="auto" w:fill="auto"/>
          </w:tcPr>
          <w:p w:rsidR="001114F7" w:rsidRPr="00CF4D10" w:rsidRDefault="001114F7" w:rsidP="001114F7">
            <w:pPr>
              <w:pStyle w:val="ListParagraph"/>
              <w:spacing w:after="200"/>
              <w:ind w:left="0"/>
            </w:pPr>
            <w:r w:rsidRPr="00CF4D10">
              <w:rPr>
                <w:rFonts w:cs="Arial"/>
              </w:rPr>
              <w:t xml:space="preserve">The psychology playlist offers various podcasts on core studies, debates and more. </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Scheme of work builder</w:t>
            </w:r>
          </w:p>
        </w:tc>
        <w:tc>
          <w:tcPr>
            <w:tcW w:w="7654" w:type="dxa"/>
            <w:shd w:val="clear" w:color="auto" w:fill="auto"/>
          </w:tcPr>
          <w:p w:rsidR="001114F7" w:rsidRPr="00CF4D10" w:rsidRDefault="001114F7" w:rsidP="001114F7">
            <w:pPr>
              <w:pStyle w:val="ListParagraph"/>
              <w:spacing w:after="200"/>
              <w:ind w:left="0"/>
            </w:pPr>
            <w:r w:rsidRPr="00CF4D10">
              <w:rPr>
                <w:rFonts w:cs="Arial"/>
              </w:rPr>
              <w:t>Create and export your own schemes of work based on specification statements and our new teaching and learning resources</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Student handbooks</w:t>
            </w:r>
          </w:p>
        </w:tc>
        <w:tc>
          <w:tcPr>
            <w:tcW w:w="7654" w:type="dxa"/>
            <w:shd w:val="clear" w:color="auto" w:fill="auto"/>
          </w:tcPr>
          <w:p w:rsidR="001114F7" w:rsidRPr="00CF4D10" w:rsidRDefault="001114F7" w:rsidP="001114F7">
            <w:pPr>
              <w:pStyle w:val="ListParagraph"/>
              <w:spacing w:after="200"/>
              <w:ind w:left="0"/>
            </w:pPr>
            <w:r w:rsidRPr="00CF4D10">
              <w:rPr>
                <w:rFonts w:cs="Arial"/>
              </w:rPr>
              <w:t>Are designed to complement the teacher guide resources and help students understanding the different specification requirements.</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Teacher guides</w:t>
            </w:r>
          </w:p>
        </w:tc>
        <w:tc>
          <w:tcPr>
            <w:tcW w:w="7654" w:type="dxa"/>
            <w:shd w:val="clear" w:color="auto" w:fill="auto"/>
          </w:tcPr>
          <w:p w:rsidR="001114F7" w:rsidRPr="00CF4D10" w:rsidRDefault="001114F7" w:rsidP="001114F7">
            <w:pPr>
              <w:pStyle w:val="ListParagraph"/>
              <w:spacing w:after="200"/>
              <w:ind w:left="0"/>
            </w:pPr>
            <w:r w:rsidRPr="00CF4D10">
              <w:rPr>
                <w:rFonts w:cs="Arial"/>
              </w:rPr>
              <w:t>This resource is available for various components of the specification offering a variety of teaching and learning ideas to cover the different topics.</w:t>
            </w:r>
          </w:p>
        </w:tc>
      </w:tr>
      <w:tr w:rsidR="001114F7" w:rsidRPr="00CF4D10" w:rsidTr="00CF4D10">
        <w:tc>
          <w:tcPr>
            <w:tcW w:w="2235" w:type="dxa"/>
            <w:shd w:val="clear" w:color="auto" w:fill="auto"/>
          </w:tcPr>
          <w:p w:rsidR="001114F7" w:rsidRPr="00CF4D10" w:rsidRDefault="001114F7" w:rsidP="001114F7">
            <w:pPr>
              <w:pStyle w:val="ListParagraph"/>
              <w:spacing w:after="200"/>
              <w:ind w:left="0"/>
              <w:rPr>
                <w:b/>
              </w:rPr>
            </w:pPr>
            <w:r w:rsidRPr="00CF4D10">
              <w:rPr>
                <w:rFonts w:cs="Arial"/>
              </w:rPr>
              <w:t>Textbooks endorsed or recommended by OCR</w:t>
            </w:r>
          </w:p>
        </w:tc>
        <w:tc>
          <w:tcPr>
            <w:tcW w:w="7654" w:type="dxa"/>
            <w:shd w:val="clear" w:color="auto" w:fill="auto"/>
          </w:tcPr>
          <w:p w:rsidR="001114F7" w:rsidRPr="00CF4D10" w:rsidRDefault="001114F7" w:rsidP="001114F7">
            <w:pPr>
              <w:pStyle w:val="ListParagraph"/>
              <w:spacing w:after="200"/>
              <w:ind w:left="0"/>
            </w:pPr>
            <w:r w:rsidRPr="00CF4D10">
              <w:rPr>
                <w:rFonts w:cs="Arial"/>
              </w:rPr>
              <w:t>We have endorsed or recommended various resources for use with this specification. For more information about endorsed or recommended resources,</w:t>
            </w:r>
            <w:r w:rsidRPr="00CF4D10">
              <w:t> </w:t>
            </w:r>
            <w:hyperlink r:id="rId11" w:history="1">
              <w:r w:rsidRPr="00CF4D10">
                <w:t>visit our endorsement page</w:t>
              </w:r>
            </w:hyperlink>
            <w:r w:rsidRPr="00CF4D10">
              <w:rPr>
                <w:rFonts w:cs="Arial"/>
              </w:rPr>
              <w:t>.</w:t>
            </w:r>
            <w:r w:rsidRPr="00CF4D10">
              <w:t> </w:t>
            </w:r>
            <w:r w:rsidRPr="00CF4D10">
              <w:rPr>
                <w:rFonts w:cs="Arial"/>
              </w:rPr>
              <w:t>Note: OCR is not responsible for the contents of third party sites.</w:t>
            </w:r>
          </w:p>
        </w:tc>
      </w:tr>
    </w:tbl>
    <w:p w:rsidR="001114F7" w:rsidRDefault="001114F7" w:rsidP="00CF4D10">
      <w:pPr>
        <w:pStyle w:val="ListParagraph"/>
        <w:spacing w:after="200"/>
        <w:ind w:left="0"/>
        <w:rPr>
          <w:rFonts w:cs="Arial"/>
        </w:rPr>
      </w:pPr>
    </w:p>
    <w:p w:rsidR="00CF4D10" w:rsidRDefault="00CF4D10" w:rsidP="00CF4D10">
      <w:pPr>
        <w:pStyle w:val="Heading2"/>
      </w:pPr>
      <w:r>
        <w:br w:type="page"/>
      </w:r>
      <w:r>
        <w:lastRenderedPageBreak/>
        <w:t>Component 1</w:t>
      </w:r>
    </w:p>
    <w:p w:rsidR="00CF4D10" w:rsidRDefault="00CF4D10" w:rsidP="00CF4D10">
      <w:pPr>
        <w:rPr>
          <w:rFonts w:eastAsia="Times New Roman"/>
          <w:b/>
          <w:bCs/>
          <w:color w:val="A778A2"/>
          <w:sz w:val="28"/>
        </w:rPr>
      </w:pPr>
      <w:r w:rsidRPr="00CF4D10">
        <w:rPr>
          <w:rFonts w:eastAsia="Times New Roman"/>
          <w:b/>
          <w:bCs/>
          <w:color w:val="A778A2"/>
          <w:sz w:val="28"/>
        </w:rPr>
        <w:t>What are the inferential statistic requirements for component 1?</w:t>
      </w:r>
    </w:p>
    <w:p w:rsidR="00CF4D10" w:rsidRDefault="00CF4D10" w:rsidP="00CF4D10">
      <w:pPr>
        <w:rPr>
          <w:rFonts w:cs="Arial"/>
        </w:rPr>
      </w:pPr>
      <w:r>
        <w:rPr>
          <w:rFonts w:cs="Arial"/>
        </w:rPr>
        <w:t>S</w:t>
      </w:r>
      <w:r w:rsidRPr="00DA241B">
        <w:rPr>
          <w:rFonts w:cs="Arial"/>
        </w:rPr>
        <w:t>tudents must be able to look at critical value tables</w:t>
      </w:r>
      <w:r>
        <w:rPr>
          <w:rFonts w:cs="Arial"/>
        </w:rPr>
        <w:t>, compare them to observed values</w:t>
      </w:r>
      <w:r w:rsidRPr="00DA241B">
        <w:rPr>
          <w:rFonts w:cs="Arial"/>
        </w:rPr>
        <w:t xml:space="preserve"> and interpret results (including knowing what results are</w:t>
      </w:r>
      <w:r>
        <w:rPr>
          <w:rFonts w:cs="Arial"/>
        </w:rPr>
        <w:t xml:space="preserve"> significant for each test). They must be able to </w:t>
      </w:r>
      <w:r w:rsidRPr="00DA241B">
        <w:rPr>
          <w:rFonts w:cs="Arial"/>
        </w:rPr>
        <w:t>select</w:t>
      </w:r>
      <w:r>
        <w:rPr>
          <w:rFonts w:cs="Arial"/>
        </w:rPr>
        <w:t xml:space="preserve"> the most appropriate statistical tests -</w:t>
      </w:r>
      <w:r w:rsidRPr="00DA241B">
        <w:rPr>
          <w:rFonts w:cs="Arial"/>
        </w:rPr>
        <w:t xml:space="preserve"> which tests are appropriate in differ</w:t>
      </w:r>
      <w:r>
        <w:rPr>
          <w:rFonts w:cs="Arial"/>
        </w:rPr>
        <w:t xml:space="preserve">ent scenarios and justify why. </w:t>
      </w:r>
      <w:r w:rsidRPr="00DA241B">
        <w:rPr>
          <w:rFonts w:cs="Arial"/>
        </w:rPr>
        <w:t>Furthermore, it is possible that students could be asked to do a calculation/ substitute a value. However, any formulas for the stats tests would be provided in the exam.</w:t>
      </w:r>
      <w:r>
        <w:rPr>
          <w:rFonts w:cs="Arial"/>
        </w:rPr>
        <w:t xml:space="preserve"> Students would not be required to calculate a statistical test in full.</w:t>
      </w:r>
    </w:p>
    <w:p w:rsidR="00CF4D10" w:rsidRDefault="00CF4D10" w:rsidP="00CF4D10"/>
    <w:p w:rsidR="00CF4D10" w:rsidRPr="009F0AC1" w:rsidRDefault="00CF4D10" w:rsidP="00CF4D10">
      <w:pPr>
        <w:pStyle w:val="Heading3"/>
      </w:pPr>
      <w:r w:rsidRPr="009F0AC1">
        <w:t>What are the mathematical requirements for standard deviation and variance?</w:t>
      </w:r>
    </w:p>
    <w:p w:rsidR="00CF4D10" w:rsidRDefault="00CF4D10" w:rsidP="00CF4D10">
      <w:pPr>
        <w:rPr>
          <w:rFonts w:cs="Arial"/>
        </w:rPr>
      </w:pPr>
      <w:r w:rsidRPr="009F0AC1">
        <w:rPr>
          <w:rFonts w:cs="Arial"/>
        </w:rPr>
        <w:t>Students may have to calculate the variance or standard deviation (either sample or population formula would be creditworthy) and students may not be given the formula, therefore s</w:t>
      </w:r>
      <w:r>
        <w:rPr>
          <w:rFonts w:cs="Arial"/>
        </w:rPr>
        <w:t>tudents should learn the methods of calculation.</w:t>
      </w:r>
    </w:p>
    <w:p w:rsidR="00CF4D10" w:rsidRDefault="00CF4D10" w:rsidP="00CF4D10"/>
    <w:p w:rsidR="00CF4D10" w:rsidRDefault="00CF4D10" w:rsidP="00CF4D10">
      <w:pPr>
        <w:pStyle w:val="Heading3"/>
      </w:pPr>
      <w:r w:rsidRPr="009F0AC1">
        <w:t>Do students have to refer to their own experience when designing an investigation on the research methods paper (component 1)?</w:t>
      </w:r>
    </w:p>
    <w:p w:rsidR="00CF4D10" w:rsidRDefault="00CF4D10" w:rsidP="00CF4D10">
      <w:pPr>
        <w:rPr>
          <w:rFonts w:cs="Arial"/>
        </w:rPr>
      </w:pPr>
      <w:r>
        <w:rPr>
          <w:rFonts w:cs="Arial"/>
        </w:rPr>
        <w:t>Yes, if students do not relate their investigations to their own experience they will not be able access the top band. Answers must address all bullet points, relate to their own practical experiences, choices must be justified (this could include strength/weaknesses) and contextualised to the investigation. Candidate style answers can be found on the qualification page.</w:t>
      </w:r>
    </w:p>
    <w:p w:rsidR="00CF4D10" w:rsidRPr="00006339" w:rsidRDefault="00CF4D10" w:rsidP="00CF4D10">
      <w:pPr>
        <w:pStyle w:val="Heading2"/>
      </w:pPr>
      <w:r>
        <w:br w:type="page"/>
      </w:r>
      <w:r w:rsidRPr="00006339">
        <w:lastRenderedPageBreak/>
        <w:t>Component 2</w:t>
      </w:r>
    </w:p>
    <w:p w:rsidR="00CF4D10" w:rsidRPr="00DA241B" w:rsidRDefault="00CF4D10" w:rsidP="00CF4D10">
      <w:pPr>
        <w:pStyle w:val="Heading3"/>
      </w:pPr>
      <w:r w:rsidRPr="00DA241B">
        <w:t xml:space="preserve">For component 2 will the core studies questions be on the original article? </w:t>
      </w:r>
    </w:p>
    <w:p w:rsidR="00CF4D10" w:rsidRDefault="00CF4D10" w:rsidP="00CF4D10">
      <w:pPr>
        <w:rPr>
          <w:rFonts w:cs="Arial"/>
        </w:rPr>
      </w:pPr>
      <w:r w:rsidRPr="00DA241B">
        <w:rPr>
          <w:rFonts w:cs="Arial"/>
        </w:rPr>
        <w:t xml:space="preserve">Exam questions on the individual studies </w:t>
      </w:r>
      <w:r>
        <w:rPr>
          <w:rFonts w:cs="Arial"/>
        </w:rPr>
        <w:t xml:space="preserve">part of the specification </w:t>
      </w:r>
      <w:r w:rsidRPr="00DA241B">
        <w:rPr>
          <w:rFonts w:cs="Arial"/>
        </w:rPr>
        <w:t xml:space="preserve">will be assessing the content in </w:t>
      </w:r>
      <w:hyperlink r:id="rId12" w:history="1">
        <w:r w:rsidRPr="0081002B">
          <w:rPr>
            <w:rStyle w:val="Hyperlink"/>
            <w:rFonts w:cs="Arial"/>
          </w:rPr>
          <w:t>The Guide to Core Studies 1</w:t>
        </w:r>
      </w:hyperlink>
      <w:r>
        <w:rPr>
          <w:rFonts w:cs="Arial"/>
        </w:rPr>
        <w:t xml:space="preserve"> and </w:t>
      </w:r>
      <w:hyperlink r:id="rId13" w:history="1">
        <w:r w:rsidRPr="004A34B3">
          <w:rPr>
            <w:rStyle w:val="Hyperlink"/>
            <w:rFonts w:cs="Arial"/>
          </w:rPr>
          <w:t>The Guide to Core Studies 2</w:t>
        </w:r>
      </w:hyperlink>
      <w:r>
        <w:rPr>
          <w:rFonts w:cs="Arial"/>
        </w:rPr>
        <w:t xml:space="preserve"> and not</w:t>
      </w:r>
      <w:r w:rsidRPr="00DA241B">
        <w:rPr>
          <w:rFonts w:cs="Arial"/>
        </w:rPr>
        <w:t xml:space="preserve"> the original journal articles</w:t>
      </w:r>
    </w:p>
    <w:p w:rsidR="00CF4D10" w:rsidRDefault="00CF4D10" w:rsidP="00CF4D10"/>
    <w:p w:rsidR="00CF4D10" w:rsidRDefault="00CF4D10" w:rsidP="00CF4D10">
      <w:pPr>
        <w:pStyle w:val="Heading3"/>
      </w:pPr>
      <w:r w:rsidRPr="009F0AC1">
        <w:t>Do students need to know strengths and weaknesses of debates?</w:t>
      </w:r>
    </w:p>
    <w:p w:rsidR="00CF4D10" w:rsidRPr="001E052C" w:rsidRDefault="00CF4D10" w:rsidP="00CF4D10">
      <w:pPr>
        <w:shd w:val="clear" w:color="auto" w:fill="FFFFFF"/>
        <w:rPr>
          <w:rFonts w:cs="Arial"/>
          <w:color w:val="000000"/>
        </w:rPr>
      </w:pPr>
      <w:r>
        <w:rPr>
          <w:rFonts w:cs="Arial"/>
          <w:color w:val="1F497D"/>
        </w:rPr>
        <w:t>T</w:t>
      </w:r>
      <w:r>
        <w:rPr>
          <w:rFonts w:cs="Arial"/>
          <w:color w:val="000000"/>
        </w:rPr>
        <w:t>here are a couple of places that candidates could make evaluative points within the text that is there. Particularly, different positions within each debate could be drawing on strengths and weaknesses</w:t>
      </w:r>
      <w:r>
        <w:rPr>
          <w:rFonts w:cs="Arial"/>
          <w:color w:val="1F497D"/>
        </w:rPr>
        <w:t>,</w:t>
      </w:r>
      <w:r>
        <w:rPr>
          <w:rFonts w:cs="Arial"/>
          <w:color w:val="000000"/>
        </w:rPr>
        <w:t xml:space="preserve"> or how each debate is different from or similar to other debates is also likely to draw out evaluation of strengths or weaknesses of certain features, for example.</w:t>
      </w:r>
    </w:p>
    <w:p w:rsidR="00CF4D10" w:rsidRDefault="00CF4D10" w:rsidP="00CF4D10"/>
    <w:p w:rsidR="00CF4D10" w:rsidRPr="009F0AC1" w:rsidRDefault="00CF4D10" w:rsidP="00CF4D10">
      <w:pPr>
        <w:pStyle w:val="Heading3"/>
      </w:pPr>
      <w:r w:rsidRPr="009F0AC1">
        <w:t>In component 2 section C SAMs students are asked to identify psychological issues, what should this include?</w:t>
      </w:r>
    </w:p>
    <w:p w:rsidR="00CF4D10" w:rsidRDefault="00CF4D10" w:rsidP="00CF4D10">
      <w:pPr>
        <w:rPr>
          <w:rFonts w:cs="Arial"/>
        </w:rPr>
      </w:pPr>
      <w:r>
        <w:rPr>
          <w:rFonts w:cs="Arial"/>
        </w:rPr>
        <w:t>I</w:t>
      </w:r>
      <w:r w:rsidRPr="009F0AC1">
        <w:rPr>
          <w:rFonts w:cs="Arial"/>
        </w:rPr>
        <w:t>ssues are likely to refer to the key theme, the area/perspective, or issues related to core studies. Your students may want to think of them as problems/issues i.e. children watching negative messages on TV may lead to imitation and anti-social behaviour. These are problems/issues that students must then consider how to manage them in later questions. Students are then likely to be asked how to evaluate these suggestions. Therefore, the issues identified are not likely to be methodological issues suc</w:t>
      </w:r>
      <w:r>
        <w:rPr>
          <w:rFonts w:cs="Arial"/>
        </w:rPr>
        <w:t>h as validity</w:t>
      </w:r>
      <w:r w:rsidRPr="009F0AC1">
        <w:rPr>
          <w:rFonts w:cs="Arial"/>
        </w:rPr>
        <w:t>. However, these could be used in evaluation of managing the issues i.e. it may not be unethical to punish a child for imitati</w:t>
      </w:r>
      <w:r>
        <w:rPr>
          <w:rFonts w:cs="Arial"/>
        </w:rPr>
        <w:t>ng behaviour seen on TV. This</w:t>
      </w:r>
      <w:r w:rsidRPr="009F0AC1">
        <w:rPr>
          <w:rFonts w:cs="Arial"/>
        </w:rPr>
        <w:t xml:space="preserve"> document should also offer </w:t>
      </w:r>
      <w:r>
        <w:rPr>
          <w:rFonts w:cs="Arial"/>
        </w:rPr>
        <w:t xml:space="preserve">further guidance </w:t>
      </w:r>
      <w:hyperlink r:id="rId14" w:history="1">
        <w:r w:rsidRPr="00423585">
          <w:rPr>
            <w:rStyle w:val="Hyperlink"/>
            <w:rFonts w:cs="Arial"/>
          </w:rPr>
          <w:t>http://www.ocr.org.uk/Images/284835-psychological-applied-learning-scenarios-teacher-guide.pdf</w:t>
        </w:r>
      </w:hyperlink>
    </w:p>
    <w:p w:rsidR="00CF4D10" w:rsidRPr="00006339" w:rsidRDefault="00CF4D10" w:rsidP="00CF4D10">
      <w:pPr>
        <w:pStyle w:val="Heading2"/>
      </w:pPr>
      <w:r w:rsidRPr="00006339">
        <w:t>Component 3</w:t>
      </w:r>
    </w:p>
    <w:p w:rsidR="00CF4D10" w:rsidRDefault="00CF4D10" w:rsidP="00CF4D10">
      <w:pPr>
        <w:pStyle w:val="Heading3"/>
      </w:pPr>
      <w:r w:rsidRPr="009A65CD">
        <w:t>Are there any resources for component 3?</w:t>
      </w:r>
    </w:p>
    <w:p w:rsidR="00CF4D10" w:rsidRPr="009A65CD" w:rsidRDefault="00CF4D10" w:rsidP="00CF4D10">
      <w:pPr>
        <w:rPr>
          <w:rFonts w:cs="Arial"/>
        </w:rPr>
      </w:pPr>
      <w:r>
        <w:rPr>
          <w:rFonts w:cs="Arial"/>
        </w:rPr>
        <w:t xml:space="preserve">For component 3 there is a new scheme of </w:t>
      </w:r>
      <w:r w:rsidR="00594FE5">
        <w:rPr>
          <w:rFonts w:cs="Arial"/>
        </w:rPr>
        <w:t>work on issues in mental health. F</w:t>
      </w:r>
      <w:r>
        <w:rPr>
          <w:rFonts w:cs="Arial"/>
        </w:rPr>
        <w:t>or the applied psychology o</w:t>
      </w:r>
      <w:r w:rsidR="004A34B3">
        <w:rPr>
          <w:rFonts w:cs="Arial"/>
        </w:rPr>
        <w:t>ptions the scheme of works are i</w:t>
      </w:r>
      <w:r>
        <w:rPr>
          <w:rFonts w:cs="Arial"/>
        </w:rPr>
        <w:t>n production.</w:t>
      </w:r>
    </w:p>
    <w:p w:rsidR="00CF4D10" w:rsidRPr="00CF4D10" w:rsidRDefault="00CF4D10" w:rsidP="00CF4D10">
      <w:pPr>
        <w:rPr>
          <w:rStyle w:val="Hyperlink"/>
          <w:rFonts w:cs="Arial"/>
        </w:rPr>
      </w:pPr>
      <w:hyperlink r:id="rId15" w:history="1">
        <w:r w:rsidRPr="00CF4D10">
          <w:rPr>
            <w:rStyle w:val="Hyperlink"/>
            <w:rFonts w:cs="Arial"/>
          </w:rPr>
          <w:t>http://www.ocr.org.uk/Images/295411-component-3-issues-in-mental-health-curriculum-plan.pdf</w:t>
        </w:r>
      </w:hyperlink>
    </w:p>
    <w:p w:rsidR="00CF4D10" w:rsidRPr="00CF4D10" w:rsidRDefault="00CF4D10" w:rsidP="00CF4D10">
      <w:pPr>
        <w:rPr>
          <w:rFonts w:cs="Arial"/>
        </w:rPr>
      </w:pPr>
      <w:r w:rsidRPr="00CF4D10">
        <w:rPr>
          <w:rStyle w:val="Hyperlink"/>
          <w:rFonts w:cs="Arial"/>
          <w:color w:val="auto"/>
          <w:u w:val="none"/>
        </w:rPr>
        <w:t xml:space="preserve">There are </w:t>
      </w:r>
      <w:hyperlink r:id="rId16" w:history="1">
        <w:r w:rsidRPr="00CF4D10">
          <w:rPr>
            <w:rStyle w:val="Hyperlink"/>
            <w:rFonts w:cs="Arial"/>
            <w:color w:val="auto"/>
            <w:u w:val="none"/>
          </w:rPr>
          <w:t>online delivery guides</w:t>
        </w:r>
      </w:hyperlink>
      <w:r w:rsidRPr="00CF4D10">
        <w:rPr>
          <w:rStyle w:val="Hyperlink"/>
          <w:rFonts w:cs="Arial"/>
          <w:color w:val="auto"/>
          <w:u w:val="none"/>
        </w:rPr>
        <w:t xml:space="preserve"> for </w:t>
      </w:r>
      <w:r w:rsidRPr="00CF4D10">
        <w:rPr>
          <w:rStyle w:val="Hyperlink"/>
          <w:rFonts w:cs="Arial"/>
          <w:i/>
          <w:color w:val="auto"/>
          <w:u w:val="none"/>
        </w:rPr>
        <w:t>Issues in Mental health</w:t>
      </w:r>
      <w:r w:rsidRPr="00CF4D10">
        <w:rPr>
          <w:rStyle w:val="Hyperlink"/>
          <w:rFonts w:cs="Arial"/>
          <w:color w:val="auto"/>
          <w:u w:val="none"/>
        </w:rPr>
        <w:t xml:space="preserve"> and all four options of applied psychology. </w:t>
      </w:r>
    </w:p>
    <w:p w:rsidR="00CF4D10" w:rsidRPr="009A65CD" w:rsidRDefault="00CF4D10" w:rsidP="00CF4D10">
      <w:pPr>
        <w:rPr>
          <w:rFonts w:cs="Arial"/>
        </w:rPr>
      </w:pPr>
      <w:r w:rsidRPr="009A65CD">
        <w:rPr>
          <w:rFonts w:cs="Arial"/>
        </w:rPr>
        <w:t xml:space="preserve">Also, there are deliver guides, core studies guides and candidate </w:t>
      </w:r>
      <w:r w:rsidR="004A34B3">
        <w:rPr>
          <w:rFonts w:cs="Arial"/>
        </w:rPr>
        <w:t xml:space="preserve">style </w:t>
      </w:r>
      <w:r w:rsidRPr="009A65CD">
        <w:rPr>
          <w:rFonts w:cs="Arial"/>
        </w:rPr>
        <w:t>answers either on the website or in production</w:t>
      </w:r>
      <w:r w:rsidR="004A34B3">
        <w:rPr>
          <w:rFonts w:cs="Arial"/>
        </w:rPr>
        <w:t>,</w:t>
      </w:r>
      <w:r w:rsidRPr="009A65CD">
        <w:rPr>
          <w:rFonts w:cs="Arial"/>
        </w:rPr>
        <w:t xml:space="preserve"> on all the options for component 3 </w:t>
      </w:r>
    </w:p>
    <w:p w:rsidR="00CF4D10" w:rsidRPr="00006339" w:rsidRDefault="00CF4D10" w:rsidP="00CF4D10">
      <w:pPr>
        <w:pStyle w:val="Heading2"/>
      </w:pPr>
      <w:r w:rsidRPr="00006339">
        <w:lastRenderedPageBreak/>
        <w:t>Other queries…</w:t>
      </w:r>
    </w:p>
    <w:p w:rsidR="00CF4D10" w:rsidRPr="009A65CD" w:rsidRDefault="00CF4D10" w:rsidP="00CF4D10">
      <w:pPr>
        <w:pStyle w:val="Heading3"/>
      </w:pPr>
      <w:r w:rsidRPr="009A65CD">
        <w:t>How will the grades be determined with the new linear specification?</w:t>
      </w:r>
    </w:p>
    <w:p w:rsidR="00CF4D10" w:rsidRDefault="00CF4D10" w:rsidP="00CF4D10">
      <w:r>
        <w:t>Here’s the link to the postcard:</w:t>
      </w:r>
    </w:p>
    <w:p w:rsidR="00CF4D10" w:rsidRDefault="00CF4D10" w:rsidP="00CF4D10">
      <w:hyperlink r:id="rId17" w:history="1">
        <w:r>
          <w:rPr>
            <w:rStyle w:val="Hyperlink"/>
          </w:rPr>
          <w:t>https://www.gov.uk/government/uploads/system/uploads/attachment_data/file/537171/Postcard_-_Grading_New_AS_and_A_Levels.pdf</w:t>
        </w:r>
      </w:hyperlink>
      <w:r>
        <w:t xml:space="preserve"> </w:t>
      </w:r>
    </w:p>
    <w:p w:rsidR="00CF4D10" w:rsidRDefault="00CF4D10" w:rsidP="00CF4D10"/>
    <w:p w:rsidR="00CF4D10" w:rsidRPr="00802314" w:rsidRDefault="00CF4D10" w:rsidP="00CF4D10">
      <w:pPr>
        <w:pStyle w:val="Heading3"/>
      </w:pPr>
      <w:r w:rsidRPr="00802314">
        <w:t>Will there be more SAMs?</w:t>
      </w:r>
    </w:p>
    <w:p w:rsidR="00CF4D10" w:rsidRDefault="00CF4D10" w:rsidP="00CF4D10">
      <w:pPr>
        <w:rPr>
          <w:rFonts w:cs="Arial"/>
        </w:rPr>
      </w:pPr>
      <w:r w:rsidRPr="00802314">
        <w:rPr>
          <w:rFonts w:cs="Arial"/>
        </w:rPr>
        <w:t xml:space="preserve">There </w:t>
      </w:r>
      <w:r>
        <w:rPr>
          <w:rFonts w:cs="Arial"/>
        </w:rPr>
        <w:t>is a</w:t>
      </w:r>
      <w:r w:rsidRPr="00802314">
        <w:rPr>
          <w:rFonts w:cs="Arial"/>
        </w:rPr>
        <w:t xml:space="preserve"> mock exam service which will provide practice papers on interchange for</w:t>
      </w:r>
      <w:r w:rsidR="00594FE5">
        <w:rPr>
          <w:rFonts w:cs="Arial"/>
        </w:rPr>
        <w:t xml:space="preserve"> all</w:t>
      </w:r>
      <w:r w:rsidRPr="00802314">
        <w:rPr>
          <w:rFonts w:cs="Arial"/>
        </w:rPr>
        <w:t xml:space="preserve"> components with mark schemes. Addit</w:t>
      </w:r>
      <w:r>
        <w:rPr>
          <w:rFonts w:cs="Arial"/>
        </w:rPr>
        <w:t xml:space="preserve">ionally, there are question banks for both </w:t>
      </w:r>
      <w:hyperlink r:id="rId18" w:history="1">
        <w:r w:rsidRPr="0081002B">
          <w:rPr>
            <w:rStyle w:val="Hyperlink"/>
            <w:rFonts w:cs="Arial"/>
          </w:rPr>
          <w:t>component 1</w:t>
        </w:r>
      </w:hyperlink>
      <w:r>
        <w:rPr>
          <w:rFonts w:cs="Arial"/>
        </w:rPr>
        <w:t xml:space="preserve"> and </w:t>
      </w:r>
      <w:hyperlink r:id="rId19" w:history="1">
        <w:r w:rsidRPr="0081002B">
          <w:rPr>
            <w:rStyle w:val="Hyperlink"/>
            <w:rFonts w:cs="Arial"/>
          </w:rPr>
          <w:t>component 2</w:t>
        </w:r>
      </w:hyperlink>
      <w:r>
        <w:rPr>
          <w:rFonts w:cs="Arial"/>
        </w:rPr>
        <w:t xml:space="preserve"> available on the website.</w:t>
      </w:r>
    </w:p>
    <w:p w:rsidR="00CF4D10" w:rsidRDefault="00CF4D10" w:rsidP="00CF4D10"/>
    <w:p w:rsidR="00CF4D10" w:rsidRDefault="00CF4D10" w:rsidP="00CF4D10">
      <w:pPr>
        <w:pStyle w:val="Heading3"/>
      </w:pPr>
      <w:r w:rsidRPr="009A65CD">
        <w:t>Teachers often ask about the content in the spec</w:t>
      </w:r>
      <w:r>
        <w:t>ification</w:t>
      </w:r>
      <w:r w:rsidRPr="009A65CD">
        <w:t xml:space="preserve"> about how studies provide </w:t>
      </w:r>
      <w:r>
        <w:t>new understandings of behaviour</w:t>
      </w:r>
    </w:p>
    <w:p w:rsidR="00CF4D10" w:rsidRPr="009A65CD" w:rsidRDefault="00CF4D10" w:rsidP="00CF4D10">
      <w:r w:rsidRPr="009A65CD">
        <w:t>This resource should help:</w:t>
      </w:r>
    </w:p>
    <w:p w:rsidR="00CF4D10" w:rsidRPr="00CF4D10" w:rsidRDefault="00CF4D10" w:rsidP="00CF4D10">
      <w:pPr>
        <w:rPr>
          <w:rFonts w:cs="Arial"/>
        </w:rPr>
      </w:pPr>
      <w:hyperlink r:id="rId20" w:history="1">
        <w:r w:rsidRPr="00CF4D10">
          <w:rPr>
            <w:rStyle w:val="Hyperlink"/>
            <w:rFonts w:cs="Arial"/>
          </w:rPr>
          <w:t>http://www.ocr.org.uk/Images/283475-core-studies-overview-and-how-they-provide-new-understandings-of-behaviour-teacher-guide.pdf</w:t>
        </w:r>
      </w:hyperlink>
    </w:p>
    <w:p w:rsidR="00CF4D10" w:rsidRDefault="00CF4D10" w:rsidP="00CF4D10"/>
    <w:p w:rsidR="00CF4D10" w:rsidRDefault="00CF4D10" w:rsidP="00CF4D10">
      <w:pPr>
        <w:pStyle w:val="Heading3"/>
      </w:pPr>
      <w:r w:rsidRPr="00CF4D10">
        <w:t xml:space="preserve">Teachers often ask about the content in the spec about </w:t>
      </w:r>
      <w:proofErr w:type="gramStart"/>
      <w:r w:rsidRPr="00CF4D10">
        <w:t>How</w:t>
      </w:r>
      <w:proofErr w:type="gramEnd"/>
      <w:r w:rsidRPr="00CF4D10">
        <w:t xml:space="preserve"> the contemporary study changes our understanding of individual, social and cultural diversity. </w:t>
      </w:r>
    </w:p>
    <w:p w:rsidR="00CF4D10" w:rsidRDefault="00CF4D10" w:rsidP="00CF4D10">
      <w:pPr>
        <w:rPr>
          <w:rFonts w:cs="Arial"/>
        </w:rPr>
      </w:pPr>
      <w:r>
        <w:rPr>
          <w:rFonts w:cs="Arial"/>
        </w:rPr>
        <w:t>T</w:t>
      </w:r>
      <w:r w:rsidRPr="00CF4D10">
        <w:rPr>
          <w:rFonts w:cs="Arial"/>
        </w:rPr>
        <w:t>his resource should help:</w:t>
      </w:r>
    </w:p>
    <w:p w:rsidR="00CF4D10" w:rsidRPr="00CF4D10" w:rsidRDefault="005C1FD1" w:rsidP="00CF4D10">
      <w:pPr>
        <w:rPr>
          <w:rFonts w:cs="Arial"/>
        </w:rPr>
      </w:pPr>
      <w:r w:rsidRPr="005C1FD1">
        <w:rPr>
          <w:rFonts w:cs="Arial"/>
          <w:u w:val="single"/>
        </w:rPr>
        <mc:AlternateContent>
          <mc:Choice Requires="wps">
            <w:drawing>
              <wp:anchor distT="0" distB="0" distL="114300" distR="114300" simplePos="0" relativeHeight="251659264" behindDoc="0" locked="0" layoutInCell="1" allowOverlap="1" wp14:anchorId="68023FB9" wp14:editId="39537D51">
                <wp:simplePos x="0" y="0"/>
                <wp:positionH relativeFrom="column">
                  <wp:posOffset>24189</wp:posOffset>
                </wp:positionH>
                <wp:positionV relativeFrom="paragraph">
                  <wp:posOffset>350815</wp:posOffset>
                </wp:positionV>
                <wp:extent cx="6281420" cy="1169582"/>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9582"/>
                        </a:xfrm>
                        <a:prstGeom prst="rect">
                          <a:avLst/>
                        </a:prstGeom>
                        <a:noFill/>
                        <a:ln w="9525">
                          <a:noFill/>
                          <a:miter lim="800000"/>
                          <a:headEnd/>
                          <a:tailEnd/>
                        </a:ln>
                      </wps:spPr>
                      <wps:txbx>
                        <w:txbxContent>
                          <w:p w:rsidR="005C1FD1" w:rsidRPr="00685A49" w:rsidRDefault="005C1FD1" w:rsidP="005C1FD1">
                            <w:pPr>
                              <w:pStyle w:val="FooterCha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5C1FD1" w:rsidRPr="00301B34" w:rsidRDefault="005C1FD1" w:rsidP="005C1FD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3" w:history="1">
                              <w:r w:rsidRPr="00301B34">
                                <w:rPr>
                                  <w:rStyle w:val="Hyperlink"/>
                                  <w:rFonts w:cs="Arial"/>
                                  <w:sz w:val="16"/>
                                  <w:szCs w:val="16"/>
                                </w:rPr>
                                <w:t>www.ocr.org.uk/expression-of-interest</w:t>
                              </w:r>
                            </w:hyperlink>
                          </w:p>
                          <w:p w:rsidR="005C1FD1" w:rsidRPr="00FB63C2" w:rsidRDefault="005C1FD1" w:rsidP="005C1FD1">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4" w:history="1">
                              <w:r w:rsidRPr="00301B34">
                                <w:rPr>
                                  <w:rStyle w:val="Hyperlink"/>
                                  <w:rFonts w:cs="Arial"/>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9pt;margin-top:27.6pt;width:494.6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" filled="f" stroked="f">
                <v:textbox>
                  <w:txbxContent>
                    <w:p w:rsidR="005C1FD1" w:rsidRPr="00685A49" w:rsidRDefault="005C1FD1" w:rsidP="005C1FD1">
                      <w:pPr>
                        <w:pStyle w:val="FooterCha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5"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2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5C1FD1" w:rsidRPr="00301B34" w:rsidRDefault="005C1FD1" w:rsidP="005C1FD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7" w:history="1">
                        <w:r w:rsidRPr="00301B34">
                          <w:rPr>
                            <w:rStyle w:val="Hyperlink"/>
                            <w:rFonts w:cs="Arial"/>
                            <w:sz w:val="16"/>
                            <w:szCs w:val="16"/>
                          </w:rPr>
                          <w:t>www.ocr.org.uk/expression-of-interest</w:t>
                        </w:r>
                      </w:hyperlink>
                    </w:p>
                    <w:p w:rsidR="005C1FD1" w:rsidRPr="00FB63C2" w:rsidRDefault="005C1FD1" w:rsidP="005C1FD1">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8" w:history="1">
                        <w:r w:rsidRPr="00301B34">
                          <w:rPr>
                            <w:rStyle w:val="Hyperlink"/>
                            <w:rFonts w:cs="Arial"/>
                            <w:sz w:val="16"/>
                            <w:szCs w:val="16"/>
                          </w:rPr>
                          <w:t>www.ocr.org.uk/i-want-to/find-resources/</w:t>
                        </w:r>
                      </w:hyperlink>
                    </w:p>
                  </w:txbxContent>
                </v:textbox>
              </v:shape>
            </w:pict>
          </mc:Fallback>
        </mc:AlternateContent>
      </w:r>
      <w:hyperlink r:id="rId29" w:history="1">
        <w:r w:rsidR="00CF4D10" w:rsidRPr="00CF4D10">
          <w:rPr>
            <w:rStyle w:val="Hyperlink"/>
            <w:rFonts w:cs="Arial"/>
          </w:rPr>
          <w:t>http://www.ocr.org.uk/Images/283477-how-the-contemporary-study-changes-our-understanding-of-individual-social-and-cultural-diversity-teacher-guide.pdf</w:t>
        </w:r>
      </w:hyperlink>
    </w:p>
    <w:p w:rsidR="00CF4D10" w:rsidRDefault="005C1FD1" w:rsidP="00CF4D10">
      <w:pPr>
        <w:rPr>
          <w:rFonts w:cs="Arial"/>
          <w:u w:val="single"/>
        </w:rPr>
      </w:pPr>
      <w:r w:rsidRPr="005C1FD1">
        <w:rPr>
          <w:rFonts w:cs="Arial"/>
          <w:u w:val="single"/>
        </w:rPr>
        <mc:AlternateContent>
          <mc:Choice Requires="wps">
            <w:drawing>
              <wp:anchor distT="0" distB="0" distL="114300" distR="114300" simplePos="0" relativeHeight="251660288" behindDoc="0" locked="0" layoutInCell="1" allowOverlap="1" wp14:anchorId="1382D4F5" wp14:editId="1D307B98">
                <wp:simplePos x="0" y="0"/>
                <wp:positionH relativeFrom="column">
                  <wp:posOffset>-86522</wp:posOffset>
                </wp:positionH>
                <wp:positionV relativeFrom="paragraph">
                  <wp:posOffset>963295</wp:posOffset>
                </wp:positionV>
                <wp:extent cx="6409690" cy="1143000"/>
                <wp:effectExtent l="0" t="0" r="0" b="0"/>
                <wp:wrapNone/>
                <wp:docPr id="54" name="Rounded Rectangle 54"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430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C1FD1" w:rsidRPr="00A4603E" w:rsidRDefault="005C1FD1" w:rsidP="005C1FD1">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as long as the OCR logo and this message remain intact and OCR is acknowledged as the originator of this </w:t>
                            </w:r>
                            <w:proofErr w:type="spellStart"/>
                            <w:r w:rsidRPr="00301B34">
                              <w:rPr>
                                <w:rFonts w:cs="Arial"/>
                                <w:color w:val="000000"/>
                                <w:sz w:val="12"/>
                                <w:szCs w:val="12"/>
                              </w:rPr>
                              <w:t>work.OCR</w:t>
                            </w:r>
                            <w:proofErr w:type="spellEnd"/>
                            <w:r w:rsidRPr="00301B34">
                              <w:rPr>
                                <w:rFonts w:cs="Arial"/>
                                <w:color w:val="000000"/>
                                <w:sz w:val="12"/>
                                <w:szCs w:val="12"/>
                              </w:rPr>
                              <w:t xml:space="preserve"> acknowledges the use of the following content: </w:t>
                            </w:r>
                            <w:r>
                              <w:rPr>
                                <w:rFonts w:cs="Calibri"/>
                                <w:color w:val="000000"/>
                                <w:sz w:val="12"/>
                                <w:szCs w:val="12"/>
                              </w:rPr>
                              <w:t>N/A</w:t>
                            </w:r>
                          </w:p>
                          <w:p w:rsidR="005C1FD1" w:rsidRPr="00580794" w:rsidRDefault="005C1FD1" w:rsidP="005C1FD1">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54"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8pt;margin-top:75.85pt;width:504.7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" fillcolor="#d8d8d8" stroked="f" strokeweight="2pt">
                <v:textbox>
                  <w:txbxContent>
                    <w:p w:rsidR="005C1FD1" w:rsidRPr="00A4603E" w:rsidRDefault="005C1FD1" w:rsidP="005C1FD1">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as long as the OCR logo and this message remain intact and OCR is acknowledged as the originator of this </w:t>
                      </w:r>
                      <w:proofErr w:type="spellStart"/>
                      <w:r w:rsidRPr="00301B34">
                        <w:rPr>
                          <w:rFonts w:cs="Arial"/>
                          <w:color w:val="000000"/>
                          <w:sz w:val="12"/>
                          <w:szCs w:val="12"/>
                        </w:rPr>
                        <w:t>work.OCR</w:t>
                      </w:r>
                      <w:proofErr w:type="spellEnd"/>
                      <w:r w:rsidRPr="00301B34">
                        <w:rPr>
                          <w:rFonts w:cs="Arial"/>
                          <w:color w:val="000000"/>
                          <w:sz w:val="12"/>
                          <w:szCs w:val="12"/>
                        </w:rPr>
                        <w:t xml:space="preserve"> acknowledges the use of the following content: </w:t>
                      </w:r>
                      <w:r>
                        <w:rPr>
                          <w:rFonts w:cs="Calibri"/>
                          <w:color w:val="000000"/>
                          <w:sz w:val="12"/>
                          <w:szCs w:val="12"/>
                        </w:rPr>
                        <w:t>N/A</w:t>
                      </w:r>
                    </w:p>
                    <w:p w:rsidR="005C1FD1" w:rsidRPr="00580794" w:rsidRDefault="005C1FD1" w:rsidP="005C1FD1">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1" w:history="1">
                        <w:r w:rsidRPr="00301B34">
                          <w:rPr>
                            <w:rStyle w:val="Hyperlink"/>
                            <w:rFonts w:cs="Arial"/>
                            <w:sz w:val="12"/>
                            <w:szCs w:val="12"/>
                            <w:lang w:eastAsia="en-GB"/>
                          </w:rPr>
                          <w:t>resources.feedback@ocr.org.uk</w:t>
                        </w:r>
                      </w:hyperlink>
                    </w:p>
                  </w:txbxContent>
                </v:textbox>
              </v:roundrect>
            </w:pict>
          </mc:Fallback>
        </mc:AlternateContent>
      </w:r>
    </w:p>
    <w:sectPr w:rsidR="00CF4D10" w:rsidSect="009B6B25">
      <w:headerReference w:type="default" r:id="rId32"/>
      <w:footerReference w:type="default" r:id="rId33"/>
      <w:pgSz w:w="11906" w:h="16838"/>
      <w:pgMar w:top="1276" w:right="991" w:bottom="1135"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37" w:rsidRDefault="00C22337" w:rsidP="00D21C92">
      <w:r>
        <w:separator/>
      </w:r>
    </w:p>
  </w:endnote>
  <w:endnote w:type="continuationSeparator" w:id="0">
    <w:p w:rsidR="00C22337" w:rsidRDefault="00C2233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E7" w:rsidRPr="00937FF3" w:rsidRDefault="00937FF3" w:rsidP="0051446F">
    <w:pPr>
      <w:pStyle w:val="Footer"/>
      <w:tabs>
        <w:tab w:val="clear" w:pos="9026"/>
        <w:tab w:val="left" w:pos="7797"/>
      </w:tabs>
      <w:rPr>
        <w:noProof/>
        <w:sz w:val="16"/>
        <w:szCs w:val="16"/>
      </w:rPr>
    </w:pPr>
    <w:r>
      <w:rPr>
        <w:sz w:val="16"/>
        <w:szCs w:val="16"/>
      </w:rPr>
      <w:t>Version 1</w:t>
    </w:r>
    <w:r w:rsidRPr="00937FF3">
      <w:rPr>
        <w:sz w:val="16"/>
        <w:szCs w:val="16"/>
      </w:rPr>
      <w:tab/>
    </w:r>
    <w:r w:rsidR="00EC02A6">
      <w:rPr>
        <w:sz w:val="16"/>
        <w:szCs w:val="16"/>
      </w:rPr>
      <w:t xml:space="preserve">       </w:t>
    </w:r>
    <w:r w:rsidR="008F629F">
      <w:rPr>
        <w:sz w:val="16"/>
        <w:szCs w:val="16"/>
      </w:rPr>
      <w:t xml:space="preserve"> </w:t>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910E2">
      <w:rPr>
        <w:noProof/>
        <w:sz w:val="16"/>
        <w:szCs w:val="16"/>
      </w:rPr>
      <w:t>1</w:t>
    </w:r>
    <w:r w:rsidRPr="00937FF3">
      <w:rPr>
        <w:noProof/>
        <w:sz w:val="16"/>
        <w:szCs w:val="16"/>
      </w:rPr>
      <w:fldChar w:fldCharType="end"/>
    </w:r>
    <w:r w:rsidR="0051446F">
      <w:rPr>
        <w:noProof/>
        <w:sz w:val="16"/>
        <w:szCs w:val="16"/>
      </w:rPr>
      <w:tab/>
    </w:r>
    <w:r w:rsidR="008F629F">
      <w:rPr>
        <w:noProof/>
        <w:sz w:val="16"/>
        <w:szCs w:val="16"/>
      </w:rPr>
      <w:tab/>
    </w:r>
    <w:r w:rsidR="008F629F">
      <w:rPr>
        <w:noProof/>
        <w:sz w:val="16"/>
        <w:szCs w:val="16"/>
      </w:rPr>
      <w:tab/>
    </w:r>
    <w:r w:rsidR="009E4B82">
      <w:rPr>
        <w:noProof/>
        <w:sz w:val="16"/>
        <w:szCs w:val="16"/>
      </w:rPr>
      <w:t>© OCR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82" w:rsidRPr="0051446F" w:rsidRDefault="007252E0" w:rsidP="0051446F">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910E2">
      <w:rPr>
        <w:noProof/>
        <w:sz w:val="16"/>
        <w:szCs w:val="16"/>
      </w:rPr>
      <w:t>2</w:t>
    </w:r>
    <w:r w:rsidRPr="00937FF3">
      <w:rPr>
        <w:noProof/>
        <w:sz w:val="16"/>
        <w:szCs w:val="16"/>
      </w:rPr>
      <w:fldChar w:fldCharType="end"/>
    </w:r>
    <w:r w:rsidR="0051446F">
      <w:rPr>
        <w:noProof/>
        <w:sz w:val="16"/>
        <w:szCs w:val="16"/>
      </w:rPr>
      <w:tab/>
    </w:r>
    <w:r w:rsidR="008F629F">
      <w:rPr>
        <w:noProof/>
        <w:sz w:val="16"/>
        <w:szCs w:val="16"/>
      </w:rPr>
      <w:tab/>
    </w:r>
    <w:r w:rsidR="0051446F">
      <w:rPr>
        <w:noProof/>
        <w:sz w:val="16"/>
        <w:szCs w:val="16"/>
      </w:rPr>
      <w:t>© OCR 201</w:t>
    </w:r>
    <w:r w:rsidR="009E4B82">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37" w:rsidRDefault="00C22337" w:rsidP="00D21C92">
      <w:r>
        <w:separator/>
      </w:r>
    </w:p>
  </w:footnote>
  <w:footnote w:type="continuationSeparator" w:id="0">
    <w:p w:rsidR="00C22337" w:rsidRDefault="00C22337"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5C1FD1" w:rsidP="00D21C92">
    <w:pPr>
      <w:pStyle w:val="Header"/>
    </w:pPr>
    <w:r>
      <w:rPr>
        <w:noProof/>
        <w:lang w:eastAsia="en-GB"/>
      </w:rPr>
      <w:drawing>
        <wp:anchor distT="0" distB="0" distL="114300" distR="114300" simplePos="0" relativeHeight="251657216" behindDoc="1" locked="0" layoutInCell="1" allowOverlap="1">
          <wp:simplePos x="0" y="0"/>
          <wp:positionH relativeFrom="column">
            <wp:posOffset>-720090</wp:posOffset>
          </wp:positionH>
          <wp:positionV relativeFrom="paragraph">
            <wp:posOffset>-442595</wp:posOffset>
          </wp:positionV>
          <wp:extent cx="7565390" cy="1078865"/>
          <wp:effectExtent l="0" t="0" r="0" b="0"/>
          <wp:wrapTight wrapText="bothSides">
            <wp:wrapPolygon edited="0">
              <wp:start x="0" y="0"/>
              <wp:lineTo x="0" y="21358"/>
              <wp:lineTo x="21538" y="21358"/>
              <wp:lineTo x="21538" y="0"/>
              <wp:lineTo x="0" y="0"/>
            </wp:wrapPolygon>
          </wp:wrapTight>
          <wp:docPr id="55" name="Picture 55" descr="AS and A Level Psychology&#10;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S and A Level Psychology&#10;Frequently asked ques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5C1FD1" w:rsidP="00D21C92">
    <w:pPr>
      <w:pStyle w:val="Header"/>
    </w:pPr>
    <w:r>
      <w:rPr>
        <w:noProof/>
        <w:lang w:eastAsia="en-GB"/>
      </w:rPr>
      <w:drawing>
        <wp:anchor distT="0" distB="0" distL="114300" distR="114300" simplePos="0" relativeHeight="251658240" behindDoc="1" locked="0" layoutInCell="1" allowOverlap="1">
          <wp:simplePos x="0" y="0"/>
          <wp:positionH relativeFrom="column">
            <wp:posOffset>-718820</wp:posOffset>
          </wp:positionH>
          <wp:positionV relativeFrom="paragraph">
            <wp:posOffset>-447675</wp:posOffset>
          </wp:positionV>
          <wp:extent cx="7595235" cy="1092835"/>
          <wp:effectExtent l="0" t="0" r="0" b="0"/>
          <wp:wrapTight wrapText="bothSides">
            <wp:wrapPolygon edited="0">
              <wp:start x="0" y="0"/>
              <wp:lineTo x="0" y="21085"/>
              <wp:lineTo x="21562" y="21085"/>
              <wp:lineTo x="21562" y="0"/>
              <wp:lineTo x="0" y="0"/>
            </wp:wrapPolygon>
          </wp:wrapTight>
          <wp:docPr id="56" name="Picture 56" descr="AS and A Level Psychology&#10;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S and A Level Psychology&#10;Frequently asked ques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15A"/>
    <w:multiLevelType w:val="hybridMultilevel"/>
    <w:tmpl w:val="14B81D3A"/>
    <w:lvl w:ilvl="0" w:tplc="CD84DBF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B36ED"/>
    <w:multiLevelType w:val="hybridMultilevel"/>
    <w:tmpl w:val="FC7CA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57722F"/>
    <w:multiLevelType w:val="hybridMultilevel"/>
    <w:tmpl w:val="7576B822"/>
    <w:lvl w:ilvl="0" w:tplc="CD84DBF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083EB0"/>
    <w:multiLevelType w:val="hybridMultilevel"/>
    <w:tmpl w:val="8982E44C"/>
    <w:lvl w:ilvl="0" w:tplc="7EA0397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CC2989"/>
    <w:multiLevelType w:val="hybridMultilevel"/>
    <w:tmpl w:val="2F90F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5B19B8"/>
    <w:multiLevelType w:val="hybridMultilevel"/>
    <w:tmpl w:val="D3981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BB0313"/>
    <w:multiLevelType w:val="hybridMultilevel"/>
    <w:tmpl w:val="28E2B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6F8B"/>
    <w:rsid w:val="0003513C"/>
    <w:rsid w:val="00064CD4"/>
    <w:rsid w:val="000805C5"/>
    <w:rsid w:val="00083F03"/>
    <w:rsid w:val="00085224"/>
    <w:rsid w:val="00110CF0"/>
    <w:rsid w:val="001114F7"/>
    <w:rsid w:val="00122137"/>
    <w:rsid w:val="00154118"/>
    <w:rsid w:val="0016654B"/>
    <w:rsid w:val="00170A9F"/>
    <w:rsid w:val="00194785"/>
    <w:rsid w:val="001B2783"/>
    <w:rsid w:val="001B488B"/>
    <w:rsid w:val="001C3787"/>
    <w:rsid w:val="002022CD"/>
    <w:rsid w:val="00204D4D"/>
    <w:rsid w:val="00254540"/>
    <w:rsid w:val="00265900"/>
    <w:rsid w:val="002804A7"/>
    <w:rsid w:val="002B5830"/>
    <w:rsid w:val="002C40A3"/>
    <w:rsid w:val="002D6A1F"/>
    <w:rsid w:val="002F2E8A"/>
    <w:rsid w:val="0031073A"/>
    <w:rsid w:val="00315005"/>
    <w:rsid w:val="003320B7"/>
    <w:rsid w:val="00332731"/>
    <w:rsid w:val="00337B68"/>
    <w:rsid w:val="003436D9"/>
    <w:rsid w:val="00351C83"/>
    <w:rsid w:val="00360AE7"/>
    <w:rsid w:val="003676B4"/>
    <w:rsid w:val="00384833"/>
    <w:rsid w:val="003A71CE"/>
    <w:rsid w:val="00463032"/>
    <w:rsid w:val="004A34B3"/>
    <w:rsid w:val="004F411A"/>
    <w:rsid w:val="00513A44"/>
    <w:rsid w:val="0051446F"/>
    <w:rsid w:val="00531060"/>
    <w:rsid w:val="00551083"/>
    <w:rsid w:val="00573729"/>
    <w:rsid w:val="00575622"/>
    <w:rsid w:val="0058629A"/>
    <w:rsid w:val="00594FE5"/>
    <w:rsid w:val="005960DC"/>
    <w:rsid w:val="005B2ABD"/>
    <w:rsid w:val="005C1FD1"/>
    <w:rsid w:val="005C46DE"/>
    <w:rsid w:val="00633339"/>
    <w:rsid w:val="00651168"/>
    <w:rsid w:val="006552B3"/>
    <w:rsid w:val="006B143C"/>
    <w:rsid w:val="006D1D6F"/>
    <w:rsid w:val="006F377E"/>
    <w:rsid w:val="00707F2D"/>
    <w:rsid w:val="007154D8"/>
    <w:rsid w:val="007252E0"/>
    <w:rsid w:val="007354F0"/>
    <w:rsid w:val="00794BE4"/>
    <w:rsid w:val="007953E7"/>
    <w:rsid w:val="007B5519"/>
    <w:rsid w:val="007B7752"/>
    <w:rsid w:val="007C4D57"/>
    <w:rsid w:val="008064FC"/>
    <w:rsid w:val="008148AA"/>
    <w:rsid w:val="008324A5"/>
    <w:rsid w:val="0084029E"/>
    <w:rsid w:val="00856920"/>
    <w:rsid w:val="00863C0D"/>
    <w:rsid w:val="008A1151"/>
    <w:rsid w:val="008D7F7D"/>
    <w:rsid w:val="008E6607"/>
    <w:rsid w:val="008F629F"/>
    <w:rsid w:val="009049D8"/>
    <w:rsid w:val="00906EBD"/>
    <w:rsid w:val="00914464"/>
    <w:rsid w:val="00937FF3"/>
    <w:rsid w:val="0095139A"/>
    <w:rsid w:val="009A013A"/>
    <w:rsid w:val="009A334A"/>
    <w:rsid w:val="009A5976"/>
    <w:rsid w:val="009B0118"/>
    <w:rsid w:val="009B6B25"/>
    <w:rsid w:val="009C1E3B"/>
    <w:rsid w:val="009D271C"/>
    <w:rsid w:val="009E4B82"/>
    <w:rsid w:val="00A422E6"/>
    <w:rsid w:val="00A94B25"/>
    <w:rsid w:val="00AB227F"/>
    <w:rsid w:val="00AB7712"/>
    <w:rsid w:val="00B213FD"/>
    <w:rsid w:val="00B316FA"/>
    <w:rsid w:val="00BA2002"/>
    <w:rsid w:val="00BC14AD"/>
    <w:rsid w:val="00C22337"/>
    <w:rsid w:val="00C231CB"/>
    <w:rsid w:val="00C72699"/>
    <w:rsid w:val="00C90376"/>
    <w:rsid w:val="00C910E2"/>
    <w:rsid w:val="00C93DF8"/>
    <w:rsid w:val="00CA4837"/>
    <w:rsid w:val="00CF4D10"/>
    <w:rsid w:val="00D04336"/>
    <w:rsid w:val="00D21C92"/>
    <w:rsid w:val="00D36F89"/>
    <w:rsid w:val="00D802E6"/>
    <w:rsid w:val="00D91BC4"/>
    <w:rsid w:val="00DD3F0A"/>
    <w:rsid w:val="00DE2A29"/>
    <w:rsid w:val="00DF1EC4"/>
    <w:rsid w:val="00E26AF8"/>
    <w:rsid w:val="00E32291"/>
    <w:rsid w:val="00E54B55"/>
    <w:rsid w:val="00E6397E"/>
    <w:rsid w:val="00E809F8"/>
    <w:rsid w:val="00EA4F22"/>
    <w:rsid w:val="00EC02A6"/>
    <w:rsid w:val="00EF6526"/>
    <w:rsid w:val="00F050D0"/>
    <w:rsid w:val="00F165E9"/>
    <w:rsid w:val="00F23F5B"/>
    <w:rsid w:val="00F447AA"/>
    <w:rsid w:val="00F53ED3"/>
    <w:rsid w:val="00F60082"/>
    <w:rsid w:val="00F61ACE"/>
    <w:rsid w:val="00FB2BD1"/>
    <w:rsid w:val="00FB2EB4"/>
    <w:rsid w:val="00FD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C40A3"/>
    <w:pPr>
      <w:keepNext/>
      <w:keepLines/>
      <w:spacing w:before="480" w:after="0"/>
      <w:outlineLvl w:val="0"/>
    </w:pPr>
    <w:rPr>
      <w:rFonts w:eastAsia="Times New Roman"/>
      <w:b/>
      <w:bCs/>
      <w:color w:val="A778A2"/>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C40A3"/>
    <w:pPr>
      <w:keepNext/>
      <w:keepLines/>
      <w:spacing w:before="200" w:after="0" w:line="360" w:lineRule="auto"/>
      <w:outlineLvl w:val="2"/>
    </w:pPr>
    <w:rPr>
      <w:rFonts w:eastAsia="Times New Roman"/>
      <w:b/>
      <w:bCs/>
      <w:color w:val="A778A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C40A3"/>
    <w:rPr>
      <w:rFonts w:ascii="Arial" w:eastAsia="Times New Roman" w:hAnsi="Arial"/>
      <w:b/>
      <w:bCs/>
      <w:color w:val="A778A2"/>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C40A3"/>
    <w:rPr>
      <w:rFonts w:ascii="Arial" w:eastAsia="Times New Roman" w:hAnsi="Arial"/>
      <w:b/>
      <w:bCs/>
      <w:color w:val="A778A2"/>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3229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32291"/>
    <w:pPr>
      <w:tabs>
        <w:tab w:val="right" w:leader="dot" w:pos="9016"/>
      </w:tabs>
    </w:pPr>
  </w:style>
  <w:style w:type="paragraph" w:styleId="TOC3">
    <w:name w:val="toc 3"/>
    <w:basedOn w:val="Normal"/>
    <w:next w:val="Normal"/>
    <w:autoRedefine/>
    <w:uiPriority w:val="39"/>
    <w:unhideWhenUsed/>
    <w:rsid w:val="00E32291"/>
    <w:pPr>
      <w:ind w:left="440"/>
    </w:pPr>
  </w:style>
  <w:style w:type="character" w:styleId="FollowedHyperlink">
    <w:name w:val="FollowedHyperlink"/>
    <w:uiPriority w:val="99"/>
    <w:semiHidden/>
    <w:unhideWhenUsed/>
    <w:rsid w:val="008148AA"/>
    <w:rPr>
      <w:color w:val="800080"/>
      <w:u w:val="single"/>
    </w:rPr>
  </w:style>
  <w:style w:type="character" w:customStyle="1" w:styleId="apple-converted-space">
    <w:name w:val="apple-converted-space"/>
    <w:rsid w:val="00EF6526"/>
  </w:style>
  <w:style w:type="character" w:styleId="Strong">
    <w:name w:val="Strong"/>
    <w:uiPriority w:val="22"/>
    <w:qFormat/>
    <w:rsid w:val="00EF6526"/>
    <w:rPr>
      <w:b/>
      <w:bCs/>
    </w:rPr>
  </w:style>
  <w:style w:type="character" w:styleId="CommentReference">
    <w:name w:val="annotation reference"/>
    <w:uiPriority w:val="99"/>
    <w:semiHidden/>
    <w:unhideWhenUsed/>
    <w:rsid w:val="00B316FA"/>
    <w:rPr>
      <w:sz w:val="16"/>
      <w:szCs w:val="16"/>
    </w:rPr>
  </w:style>
  <w:style w:type="paragraph" w:styleId="CommentText">
    <w:name w:val="annotation text"/>
    <w:basedOn w:val="Normal"/>
    <w:link w:val="CommentTextChar"/>
    <w:uiPriority w:val="99"/>
    <w:semiHidden/>
    <w:unhideWhenUsed/>
    <w:rsid w:val="00B316FA"/>
    <w:rPr>
      <w:sz w:val="20"/>
      <w:szCs w:val="20"/>
    </w:rPr>
  </w:style>
  <w:style w:type="character" w:customStyle="1" w:styleId="CommentTextChar">
    <w:name w:val="Comment Text Char"/>
    <w:link w:val="CommentText"/>
    <w:uiPriority w:val="99"/>
    <w:semiHidden/>
    <w:rsid w:val="00B316F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316FA"/>
    <w:rPr>
      <w:b/>
      <w:bCs/>
    </w:rPr>
  </w:style>
  <w:style w:type="character" w:customStyle="1" w:styleId="CommentSubjectChar">
    <w:name w:val="Comment Subject Char"/>
    <w:link w:val="CommentSubject"/>
    <w:uiPriority w:val="99"/>
    <w:semiHidden/>
    <w:rsid w:val="00B316FA"/>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C40A3"/>
    <w:pPr>
      <w:keepNext/>
      <w:keepLines/>
      <w:spacing w:before="480" w:after="0"/>
      <w:outlineLvl w:val="0"/>
    </w:pPr>
    <w:rPr>
      <w:rFonts w:eastAsia="Times New Roman"/>
      <w:b/>
      <w:bCs/>
      <w:color w:val="A778A2"/>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C40A3"/>
    <w:pPr>
      <w:keepNext/>
      <w:keepLines/>
      <w:spacing w:before="200" w:after="0" w:line="360" w:lineRule="auto"/>
      <w:outlineLvl w:val="2"/>
    </w:pPr>
    <w:rPr>
      <w:rFonts w:eastAsia="Times New Roman"/>
      <w:b/>
      <w:bCs/>
      <w:color w:val="A778A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C40A3"/>
    <w:rPr>
      <w:rFonts w:ascii="Arial" w:eastAsia="Times New Roman" w:hAnsi="Arial"/>
      <w:b/>
      <w:bCs/>
      <w:color w:val="A778A2"/>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C40A3"/>
    <w:rPr>
      <w:rFonts w:ascii="Arial" w:eastAsia="Times New Roman" w:hAnsi="Arial"/>
      <w:b/>
      <w:bCs/>
      <w:color w:val="A778A2"/>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3229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32291"/>
    <w:pPr>
      <w:tabs>
        <w:tab w:val="right" w:leader="dot" w:pos="9016"/>
      </w:tabs>
    </w:pPr>
  </w:style>
  <w:style w:type="paragraph" w:styleId="TOC3">
    <w:name w:val="toc 3"/>
    <w:basedOn w:val="Normal"/>
    <w:next w:val="Normal"/>
    <w:autoRedefine/>
    <w:uiPriority w:val="39"/>
    <w:unhideWhenUsed/>
    <w:rsid w:val="00E32291"/>
    <w:pPr>
      <w:ind w:left="440"/>
    </w:pPr>
  </w:style>
  <w:style w:type="character" w:styleId="FollowedHyperlink">
    <w:name w:val="FollowedHyperlink"/>
    <w:uiPriority w:val="99"/>
    <w:semiHidden/>
    <w:unhideWhenUsed/>
    <w:rsid w:val="008148AA"/>
    <w:rPr>
      <w:color w:val="800080"/>
      <w:u w:val="single"/>
    </w:rPr>
  </w:style>
  <w:style w:type="character" w:customStyle="1" w:styleId="apple-converted-space">
    <w:name w:val="apple-converted-space"/>
    <w:rsid w:val="00EF6526"/>
  </w:style>
  <w:style w:type="character" w:styleId="Strong">
    <w:name w:val="Strong"/>
    <w:uiPriority w:val="22"/>
    <w:qFormat/>
    <w:rsid w:val="00EF6526"/>
    <w:rPr>
      <w:b/>
      <w:bCs/>
    </w:rPr>
  </w:style>
  <w:style w:type="character" w:styleId="CommentReference">
    <w:name w:val="annotation reference"/>
    <w:uiPriority w:val="99"/>
    <w:semiHidden/>
    <w:unhideWhenUsed/>
    <w:rsid w:val="00B316FA"/>
    <w:rPr>
      <w:sz w:val="16"/>
      <w:szCs w:val="16"/>
    </w:rPr>
  </w:style>
  <w:style w:type="paragraph" w:styleId="CommentText">
    <w:name w:val="annotation text"/>
    <w:basedOn w:val="Normal"/>
    <w:link w:val="CommentTextChar"/>
    <w:uiPriority w:val="99"/>
    <w:semiHidden/>
    <w:unhideWhenUsed/>
    <w:rsid w:val="00B316FA"/>
    <w:rPr>
      <w:sz w:val="20"/>
      <w:szCs w:val="20"/>
    </w:rPr>
  </w:style>
  <w:style w:type="character" w:customStyle="1" w:styleId="CommentTextChar">
    <w:name w:val="Comment Text Char"/>
    <w:link w:val="CommentText"/>
    <w:uiPriority w:val="99"/>
    <w:semiHidden/>
    <w:rsid w:val="00B316F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316FA"/>
    <w:rPr>
      <w:b/>
      <w:bCs/>
    </w:rPr>
  </w:style>
  <w:style w:type="character" w:customStyle="1" w:styleId="CommentSubjectChar">
    <w:name w:val="Comment Subject Char"/>
    <w:link w:val="CommentSubject"/>
    <w:uiPriority w:val="99"/>
    <w:semiHidden/>
    <w:rsid w:val="00B316F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Images/183326-guide-to-core-studies-2.pdf" TargetMode="External"/><Relationship Id="rId18" Type="http://schemas.openxmlformats.org/officeDocument/2006/relationships/hyperlink" Target="http://www.ocr.org.uk/Images/288955-component-1-research-methods-question-bank.pdf" TargetMode="External"/><Relationship Id="rId26" Type="http://schemas.openxmlformats.org/officeDocument/2006/relationships/hyperlink" Target="mailto:resources.feedback@ocr.org.uk?subject=I%20disliked%20the%20A%20Level%20Psychology%2FAQs" TargetMode="External"/><Relationship Id="rId3" Type="http://schemas.openxmlformats.org/officeDocument/2006/relationships/styles" Target="styles.xml"/><Relationship Id="rId21" Type="http://schemas.openxmlformats.org/officeDocument/2006/relationships/hyperlink" Target="mailto:resources.feedback@ocr.org.uk?subject=I%20liked%20the%20A%20Level%20Psychology%20FAQ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cr.org.uk/Images/170180-guide-to-core-studies-1.pdf" TargetMode="External"/><Relationship Id="rId17" Type="http://schemas.openxmlformats.org/officeDocument/2006/relationships/hyperlink" Target="https://www.gov.uk/government/uploads/system/uploads/attachment_data/file/537171/Postcard_-_Grading_New_AS_and_A_Levels.pdf" TargetMode="External"/><Relationship Id="rId25" Type="http://schemas.openxmlformats.org/officeDocument/2006/relationships/hyperlink" Target="mailto:resources.feedback@ocr.org.uk?subject=I%20liked%20the%20A%20Level%20Psychology%20FAQ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cr.org.uk/qualifications/as-a-level-gce-psychology-h167-h567-from-2015/delivery-guide/" TargetMode="External"/><Relationship Id="rId20" Type="http://schemas.openxmlformats.org/officeDocument/2006/relationships/hyperlink" Target="http://www.ocr.org.uk/Images/283475-core-studies-overview-and-how-they-provide-new-understandings-of-behaviour-teacher-guide.pdf" TargetMode="External"/><Relationship Id="rId29" Type="http://schemas.openxmlformats.org/officeDocument/2006/relationships/hyperlink" Target="http://www.ocr.org.uk/Images/283477-how-the-contemporary-study-changes-our-understanding-of-individual-social-and-cultural-diversity-teacher-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qualifications/gcse-and-a-level-reform/teaching-and-learning-resources/endorsed-resources/index.aspx" TargetMode="External"/><Relationship Id="rId24" Type="http://schemas.openxmlformats.org/officeDocument/2006/relationships/hyperlink" Target="http://www.ocr.org.uk/i-want-to/find-resources/"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ocr.org.uk/Images/295411-component-3-issues-in-mental-health-curriculum-plan.pdf" TargetMode="External"/><Relationship Id="rId23" Type="http://schemas.openxmlformats.org/officeDocument/2006/relationships/hyperlink" Target="http://www.ocr.org.uk/expression-of-interest" TargetMode="External"/><Relationship Id="rId28" Type="http://schemas.openxmlformats.org/officeDocument/2006/relationships/hyperlink" Target="http://www.ocr.org.uk/i-want-to/find-resources/" TargetMode="External"/><Relationship Id="rId10" Type="http://schemas.openxmlformats.org/officeDocument/2006/relationships/footer" Target="footer1.xml"/><Relationship Id="rId19" Type="http://schemas.openxmlformats.org/officeDocument/2006/relationships/hyperlink" Target="http://www.ocr.org.uk/Images/295312-component-2-psychological-themes-through-core-studies-question-bank.pdf" TargetMode="External"/><Relationship Id="rId31"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Images/284835-psychological-applied-learning-scenarios-teacher-guide.pdf" TargetMode="External"/><Relationship Id="rId22" Type="http://schemas.openxmlformats.org/officeDocument/2006/relationships/hyperlink" Target="mailto:resources.feedback@ocr.org.uk?subject=I%20disliked%20the%20A%20Level%20Psychology%2FAQs" TargetMode="External"/><Relationship Id="rId27" Type="http://schemas.openxmlformats.org/officeDocument/2006/relationships/hyperlink" Target="http://www.ocr.org.uk/expression-of-interest" TargetMode="External"/><Relationship Id="rId30" Type="http://schemas.openxmlformats.org/officeDocument/2006/relationships/hyperlink" Target="mailto:resources.feedback@ocr.org.u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166F2-0353-4E5C-95B2-F0B9CB93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OCR A Level Psychology - FAQs</vt:lpstr>
    </vt:vector>
  </TitlesOfParts>
  <Company>Cambridge Assessment</Company>
  <LinksUpToDate>false</LinksUpToDate>
  <CharactersWithSpaces>9554</CharactersWithSpaces>
  <SharedDoc>false</SharedDoc>
  <HLinks>
    <vt:vector size="66" baseType="variant">
      <vt:variant>
        <vt:i4>3407906</vt:i4>
      </vt:variant>
      <vt:variant>
        <vt:i4>30</vt:i4>
      </vt:variant>
      <vt:variant>
        <vt:i4>0</vt:i4>
      </vt:variant>
      <vt:variant>
        <vt:i4>5</vt:i4>
      </vt:variant>
      <vt:variant>
        <vt:lpwstr>http://www.ocr.org.uk/Images/283477-how-the-contemporary-study-changes-our-understanding-of-individual-social-and-cultural-diversity-teacher-guide.pdf</vt:lpwstr>
      </vt:variant>
      <vt:variant>
        <vt:lpwstr/>
      </vt:variant>
      <vt:variant>
        <vt:i4>1114126</vt:i4>
      </vt:variant>
      <vt:variant>
        <vt:i4>27</vt:i4>
      </vt:variant>
      <vt:variant>
        <vt:i4>0</vt:i4>
      </vt:variant>
      <vt:variant>
        <vt:i4>5</vt:i4>
      </vt:variant>
      <vt:variant>
        <vt:lpwstr>http://www.ocr.org.uk/Images/283475-core-studies-overview-and-how-they-provide-new-understandings-of-behaviour-teacher-guide.pdf</vt:lpwstr>
      </vt:variant>
      <vt:variant>
        <vt:lpwstr/>
      </vt:variant>
      <vt:variant>
        <vt:i4>6422573</vt:i4>
      </vt:variant>
      <vt:variant>
        <vt:i4>24</vt:i4>
      </vt:variant>
      <vt:variant>
        <vt:i4>0</vt:i4>
      </vt:variant>
      <vt:variant>
        <vt:i4>5</vt:i4>
      </vt:variant>
      <vt:variant>
        <vt:lpwstr>http://www.ocr.org.uk/Images/295312-component-2-psychological-themes-through-core-studies-question-bank.pdf</vt:lpwstr>
      </vt:variant>
      <vt:variant>
        <vt:lpwstr/>
      </vt:variant>
      <vt:variant>
        <vt:i4>3211312</vt:i4>
      </vt:variant>
      <vt:variant>
        <vt:i4>21</vt:i4>
      </vt:variant>
      <vt:variant>
        <vt:i4>0</vt:i4>
      </vt:variant>
      <vt:variant>
        <vt:i4>5</vt:i4>
      </vt:variant>
      <vt:variant>
        <vt:lpwstr>http://www.ocr.org.uk/Images/288955-component-1-research-methods-question-bank.pdf</vt:lpwstr>
      </vt:variant>
      <vt:variant>
        <vt:lpwstr/>
      </vt:variant>
      <vt:variant>
        <vt:i4>655455</vt:i4>
      </vt:variant>
      <vt:variant>
        <vt:i4>18</vt:i4>
      </vt:variant>
      <vt:variant>
        <vt:i4>0</vt:i4>
      </vt:variant>
      <vt:variant>
        <vt:i4>5</vt:i4>
      </vt:variant>
      <vt:variant>
        <vt:lpwstr>https://www.gov.uk/government/uploads/system/uploads/attachment_data/file/537171/Postcard_-_Grading_New_AS_and_A_Levels.pdf</vt:lpwstr>
      </vt:variant>
      <vt:variant>
        <vt:lpwstr/>
      </vt:variant>
      <vt:variant>
        <vt:i4>3407983</vt:i4>
      </vt:variant>
      <vt:variant>
        <vt:i4>15</vt:i4>
      </vt:variant>
      <vt:variant>
        <vt:i4>0</vt:i4>
      </vt:variant>
      <vt:variant>
        <vt:i4>5</vt:i4>
      </vt:variant>
      <vt:variant>
        <vt:lpwstr>http://www.ocr.org.uk/qualifications/as-a-level-gce-psychology-h167-h567-from-2015/delivery-guide/</vt:lpwstr>
      </vt:variant>
      <vt:variant>
        <vt:lpwstr/>
      </vt:variant>
      <vt:variant>
        <vt:i4>3866658</vt:i4>
      </vt:variant>
      <vt:variant>
        <vt:i4>12</vt:i4>
      </vt:variant>
      <vt:variant>
        <vt:i4>0</vt:i4>
      </vt:variant>
      <vt:variant>
        <vt:i4>5</vt:i4>
      </vt:variant>
      <vt:variant>
        <vt:lpwstr>http://www.ocr.org.uk/Images/295411-component-3-issues-in-mental-health-curriculum-plan.pdf</vt:lpwstr>
      </vt:variant>
      <vt:variant>
        <vt:lpwstr/>
      </vt:variant>
      <vt:variant>
        <vt:i4>6422572</vt:i4>
      </vt:variant>
      <vt:variant>
        <vt:i4>9</vt:i4>
      </vt:variant>
      <vt:variant>
        <vt:i4>0</vt:i4>
      </vt:variant>
      <vt:variant>
        <vt:i4>5</vt:i4>
      </vt:variant>
      <vt:variant>
        <vt:lpwstr>http://www.ocr.org.uk/Images/284835-psychological-applied-learning-scenarios-teacher-guide.pdf</vt:lpwstr>
      </vt:variant>
      <vt:variant>
        <vt:lpwstr/>
      </vt:variant>
      <vt:variant>
        <vt:i4>8192051</vt:i4>
      </vt:variant>
      <vt:variant>
        <vt:i4>6</vt:i4>
      </vt:variant>
      <vt:variant>
        <vt:i4>0</vt:i4>
      </vt:variant>
      <vt:variant>
        <vt:i4>5</vt:i4>
      </vt:variant>
      <vt:variant>
        <vt:lpwstr>http://www.ocr.org.uk/Images/183326-guide-to-core-studies-2.pdf</vt:lpwstr>
      </vt:variant>
      <vt:variant>
        <vt:lpwstr/>
      </vt:variant>
      <vt:variant>
        <vt:i4>7602235</vt:i4>
      </vt:variant>
      <vt:variant>
        <vt:i4>3</vt:i4>
      </vt:variant>
      <vt:variant>
        <vt:i4>0</vt:i4>
      </vt:variant>
      <vt:variant>
        <vt:i4>5</vt:i4>
      </vt:variant>
      <vt:variant>
        <vt:lpwstr>http://www.ocr.org.uk/Images/170180-guide-to-core-studies-1.pdf</vt:lpwstr>
      </vt:variant>
      <vt:variant>
        <vt:lpwstr/>
      </vt:variant>
      <vt:variant>
        <vt:i4>2752551</vt:i4>
      </vt:variant>
      <vt:variant>
        <vt:i4>0</vt:i4>
      </vt:variant>
      <vt:variant>
        <vt:i4>0</vt:i4>
      </vt:variant>
      <vt:variant>
        <vt:i4>5</vt:i4>
      </vt:variant>
      <vt:variant>
        <vt:lpwstr>http://www.ocr.org.uk/qualifications/gcse-and-a-level-reform/teaching-and-learning-resources/endorsed-resources/index.aspx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Level Psychology - FAQs</dc:title>
  <dc:creator>OCR</dc:creator>
  <cp:keywords>AS Level, Psychology, frequently asked questions, faqs, guide, student, handbook, preparation, revision</cp:keywords>
  <cp:lastModifiedBy>Rachel Davis</cp:lastModifiedBy>
  <cp:revision>2</cp:revision>
  <dcterms:created xsi:type="dcterms:W3CDTF">2016-11-07T13:52:00Z</dcterms:created>
  <dcterms:modified xsi:type="dcterms:W3CDTF">2016-11-07T13:52:00Z</dcterms:modified>
</cp:coreProperties>
</file>