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A313BD" w:rsidRDefault="00E65434" w:rsidP="00A313BD">
      <w:pPr>
        <w:pStyle w:val="Heading1"/>
      </w:pPr>
      <w:r w:rsidRPr="00A313BD">
        <w:t>Unit Y</w:t>
      </w:r>
      <w:r w:rsidR="00A90EBE" w:rsidRPr="00A313BD">
        <w:t>31</w:t>
      </w:r>
      <w:r w:rsidR="0054060D" w:rsidRPr="00A313BD">
        <w:t>4</w:t>
      </w:r>
      <w:r w:rsidRPr="00A313BD">
        <w:t xml:space="preserve">: </w:t>
      </w:r>
      <w:r w:rsidR="0054060D" w:rsidRPr="00A313BD">
        <w:t>The challenge of German nationalism 1789-1919</w:t>
      </w:r>
    </w:p>
    <w:p w:rsidR="00E65434" w:rsidRPr="00A313BD" w:rsidRDefault="00E65434" w:rsidP="00E65434">
      <w:pPr>
        <w:rPr>
          <w:caps/>
          <w:color w:val="000000" w:themeColor="text1"/>
        </w:rPr>
      </w:pPr>
      <w:r w:rsidRPr="00A313BD">
        <w:rPr>
          <w:caps/>
          <w:color w:val="000000" w:themeColor="text1"/>
        </w:rPr>
        <w:t>Note: Based on 3x 50 minute lessons per week</w:t>
      </w:r>
    </w:p>
    <w:p w:rsidR="00462B65" w:rsidRPr="00A313BD" w:rsidRDefault="00E65434" w:rsidP="00E65434">
      <w:pPr>
        <w:rPr>
          <w:caps/>
          <w:color w:val="000000" w:themeColor="text1"/>
        </w:rPr>
      </w:pPr>
      <w:r w:rsidRPr="00A313BD">
        <w:rPr>
          <w:caps/>
          <w:color w:val="000000" w:themeColor="text1"/>
        </w:rPr>
        <w:t>Terms based on 6 term year.</w:t>
      </w:r>
    </w:p>
    <w:p w:rsidR="00834B38" w:rsidRPr="00A313BD" w:rsidRDefault="00B36698" w:rsidP="008E5637">
      <w:pPr>
        <w:rPr>
          <w:color w:val="000000"/>
        </w:rPr>
      </w:pPr>
      <w:r w:rsidRPr="00A313BD">
        <w:rPr>
          <w:color w:val="000000"/>
        </w:rPr>
        <w:t>This theme focuses on significant developments in Germany which characterised nationalism in different forms from the emerging movement in the early 19th century to the achievement of unification and finally the collapse of monarchy. Learners should understand the reasons for changes in the nature of German nationalism and the consequences within Germany.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 theme.</w:t>
      </w:r>
    </w:p>
    <w:p w:rsidR="00A313BD" w:rsidRDefault="007F6DDC" w:rsidP="008E5637">
      <w:pPr>
        <w:rPr>
          <w:bCs/>
        </w:rPr>
      </w:pPr>
      <w:r w:rsidRPr="00A313BD">
        <w:t xml:space="preserve">Note – this is a chronological approach – the three depth studies are highlighted within the main body: </w:t>
      </w:r>
      <w:r w:rsidRPr="00A313BD">
        <w:rPr>
          <w:b/>
          <w:bCs/>
          <w:highlight w:val="yellow"/>
        </w:rPr>
        <w:t>1848/1849 Revolutions</w:t>
      </w:r>
      <w:r w:rsidRPr="00A313BD">
        <w:rPr>
          <w:b/>
          <w:bCs/>
        </w:rPr>
        <w:t xml:space="preserve">, </w:t>
      </w:r>
      <w:r w:rsidRPr="00A313BD">
        <w:rPr>
          <w:b/>
          <w:bCs/>
          <w:color w:val="FFFFFF" w:themeColor="background1"/>
          <w:highlight w:val="darkCyan"/>
        </w:rPr>
        <w:t>Nationalism and Unification 1867–1871</w:t>
      </w:r>
      <w:r w:rsidRPr="00A313BD">
        <w:rPr>
          <w:b/>
          <w:bCs/>
          <w:highlight w:val="darkCyan"/>
        </w:rPr>
        <w:t>,</w:t>
      </w:r>
      <w:r w:rsidRPr="00A313BD">
        <w:rPr>
          <w:b/>
          <w:bCs/>
        </w:rPr>
        <w:t xml:space="preserve"> </w:t>
      </w:r>
      <w:r w:rsidRPr="00A313BD">
        <w:rPr>
          <w:b/>
          <w:bCs/>
          <w:color w:val="FFFFFF" w:themeColor="background1"/>
          <w:highlight w:val="darkYellow"/>
        </w:rPr>
        <w:t>Wilhelmine Germany and the growth of Nationalism 1884–1914</w:t>
      </w:r>
      <w:r w:rsidRPr="00A313BD">
        <w:rPr>
          <w:b/>
          <w:bCs/>
        </w:rPr>
        <w:t xml:space="preserve">. </w:t>
      </w:r>
      <w:r w:rsidRPr="00A313BD">
        <w:rPr>
          <w:bCs/>
        </w:rPr>
        <w:t xml:space="preserve">It is important to note that whilst this approach suggests a chronological route to teaching, this is a </w:t>
      </w:r>
      <w:r w:rsidRPr="00A313BD">
        <w:rPr>
          <w:b/>
          <w:bCs/>
          <w:u w:val="single"/>
        </w:rPr>
        <w:t xml:space="preserve">thematic </w:t>
      </w:r>
      <w:r w:rsidRPr="00A313BD">
        <w:rPr>
          <w:bCs/>
        </w:rPr>
        <w:t>unit and answers to the thematic questions set should be attempted thematically, not chronologically. It is suggested, if this approach is used, that care should be taken to ensure learners are fully aware of the demands of a thematic unit. Alternatively, this could be approached thematically, using the headings from the indicative content as a guide to approaching the course.</w:t>
      </w:r>
    </w:p>
    <w:tbl>
      <w:tblPr>
        <w:tblStyle w:val="TableGrid"/>
        <w:tblW w:w="0" w:type="auto"/>
        <w:tblLook w:val="04A0" w:firstRow="1" w:lastRow="0" w:firstColumn="1" w:lastColumn="0" w:noHBand="0" w:noVBand="1"/>
      </w:tblPr>
      <w:tblGrid>
        <w:gridCol w:w="1951"/>
        <w:gridCol w:w="4888"/>
        <w:gridCol w:w="8775"/>
      </w:tblGrid>
      <w:tr w:rsidR="00A313BD" w:rsidRPr="00A313BD" w:rsidTr="00DA0735">
        <w:trPr>
          <w:trHeight w:val="422"/>
          <w:tblHeader/>
        </w:trPr>
        <w:tc>
          <w:tcPr>
            <w:tcW w:w="1951" w:type="dxa"/>
            <w:shd w:val="clear" w:color="auto" w:fill="auto"/>
          </w:tcPr>
          <w:p w:rsidR="00A313BD" w:rsidRPr="00A313BD" w:rsidRDefault="00A313BD" w:rsidP="00DA0735">
            <w:pPr>
              <w:rPr>
                <w:b/>
                <w:color w:val="000000" w:themeColor="text1"/>
              </w:rPr>
            </w:pPr>
            <w:r w:rsidRPr="00A313BD">
              <w:rPr>
                <w:b/>
                <w:color w:val="000000" w:themeColor="text1"/>
              </w:rPr>
              <w:t>Week:</w:t>
            </w:r>
          </w:p>
        </w:tc>
        <w:tc>
          <w:tcPr>
            <w:tcW w:w="4888" w:type="dxa"/>
            <w:shd w:val="clear" w:color="auto" w:fill="auto"/>
          </w:tcPr>
          <w:p w:rsidR="00A313BD" w:rsidRPr="00A313BD" w:rsidRDefault="00A313BD" w:rsidP="00DA0735">
            <w:pPr>
              <w:rPr>
                <w:b/>
                <w:color w:val="000000" w:themeColor="text1"/>
              </w:rPr>
            </w:pPr>
            <w:r w:rsidRPr="00A313BD">
              <w:rPr>
                <w:b/>
                <w:color w:val="000000" w:themeColor="text1"/>
              </w:rPr>
              <w:t>Indicative content from specification</w:t>
            </w:r>
          </w:p>
        </w:tc>
        <w:tc>
          <w:tcPr>
            <w:tcW w:w="8775" w:type="dxa"/>
            <w:shd w:val="clear" w:color="auto" w:fill="auto"/>
          </w:tcPr>
          <w:p w:rsidR="00A313BD" w:rsidRPr="00A313BD" w:rsidRDefault="00A313BD" w:rsidP="00DA0735">
            <w:pPr>
              <w:rPr>
                <w:b/>
                <w:color w:val="000000" w:themeColor="text1"/>
              </w:rPr>
            </w:pPr>
            <w:r w:rsidRPr="00A313BD">
              <w:rPr>
                <w:b/>
                <w:color w:val="000000" w:themeColor="text1"/>
              </w:rPr>
              <w:t>Chronological Content</w:t>
            </w:r>
          </w:p>
        </w:tc>
      </w:tr>
      <w:tr w:rsidR="00A313BD" w:rsidRPr="00A313BD" w:rsidTr="00DA0735">
        <w:tc>
          <w:tcPr>
            <w:tcW w:w="1951" w:type="dxa"/>
          </w:tcPr>
          <w:p w:rsidR="00A313BD" w:rsidRPr="00A313BD" w:rsidRDefault="00A313BD" w:rsidP="00DA0735">
            <w:pPr>
              <w:pStyle w:val="Default"/>
              <w:ind w:left="28"/>
              <w:rPr>
                <w:color w:val="auto"/>
                <w:sz w:val="22"/>
                <w:szCs w:val="22"/>
              </w:rPr>
            </w:pPr>
            <w:r w:rsidRPr="00A313BD">
              <w:rPr>
                <w:color w:val="auto"/>
                <w:sz w:val="22"/>
                <w:szCs w:val="22"/>
              </w:rPr>
              <w:t>1</w:t>
            </w:r>
          </w:p>
        </w:tc>
        <w:tc>
          <w:tcPr>
            <w:tcW w:w="4888" w:type="dxa"/>
          </w:tcPr>
          <w:p w:rsidR="00A313BD" w:rsidRPr="00A313BD" w:rsidRDefault="00A313BD" w:rsidP="00DA0735">
            <w:pPr>
              <w:pStyle w:val="Default"/>
              <w:numPr>
                <w:ilvl w:val="0"/>
                <w:numId w:val="49"/>
              </w:numPr>
              <w:ind w:left="388"/>
              <w:rPr>
                <w:color w:val="auto"/>
                <w:sz w:val="22"/>
                <w:szCs w:val="22"/>
              </w:rPr>
            </w:pPr>
            <w:r w:rsidRPr="00A313BD">
              <w:rPr>
                <w:color w:val="auto"/>
                <w:sz w:val="22"/>
                <w:szCs w:val="22"/>
              </w:rPr>
              <w:t>Introduction</w:t>
            </w:r>
          </w:p>
        </w:tc>
        <w:tc>
          <w:tcPr>
            <w:tcW w:w="8775" w:type="dxa"/>
          </w:tcPr>
          <w:p w:rsidR="00A313BD" w:rsidRPr="00A313BD" w:rsidRDefault="00A313BD" w:rsidP="00DA0735">
            <w:pPr>
              <w:pStyle w:val="Default"/>
              <w:numPr>
                <w:ilvl w:val="0"/>
                <w:numId w:val="48"/>
              </w:numPr>
              <w:ind w:left="334"/>
              <w:rPr>
                <w:color w:val="auto"/>
                <w:sz w:val="22"/>
                <w:szCs w:val="22"/>
              </w:rPr>
            </w:pPr>
            <w:r w:rsidRPr="00A313BD">
              <w:rPr>
                <w:color w:val="auto"/>
                <w:sz w:val="22"/>
                <w:szCs w:val="22"/>
              </w:rPr>
              <w:t>Germany in 1789 – political, social, economic situation</w:t>
            </w:r>
          </w:p>
          <w:p w:rsidR="00A313BD" w:rsidRPr="00A313BD" w:rsidRDefault="00A313BD" w:rsidP="00DA0735">
            <w:pPr>
              <w:pStyle w:val="Default"/>
              <w:rPr>
                <w:color w:val="auto"/>
                <w:sz w:val="22"/>
                <w:szCs w:val="22"/>
              </w:rPr>
            </w:pPr>
          </w:p>
        </w:tc>
      </w:tr>
      <w:tr w:rsidR="00A313BD" w:rsidRPr="00A313BD" w:rsidTr="00DA0735">
        <w:tc>
          <w:tcPr>
            <w:tcW w:w="1951" w:type="dxa"/>
          </w:tcPr>
          <w:p w:rsidR="00A313BD" w:rsidRPr="00A313BD" w:rsidRDefault="00A313BD" w:rsidP="00DA0735">
            <w:pPr>
              <w:pStyle w:val="Default"/>
              <w:ind w:left="28"/>
              <w:rPr>
                <w:sz w:val="22"/>
                <w:szCs w:val="22"/>
              </w:rPr>
            </w:pPr>
            <w:r w:rsidRPr="00A313BD">
              <w:rPr>
                <w:sz w:val="22"/>
                <w:szCs w:val="22"/>
              </w:rPr>
              <w:t>1</w:t>
            </w:r>
          </w:p>
        </w:tc>
        <w:tc>
          <w:tcPr>
            <w:tcW w:w="4888" w:type="dxa"/>
          </w:tcPr>
          <w:p w:rsidR="00A313BD" w:rsidRPr="00A313BD" w:rsidRDefault="00A313BD" w:rsidP="00DA0735">
            <w:pPr>
              <w:pStyle w:val="Default"/>
              <w:numPr>
                <w:ilvl w:val="0"/>
                <w:numId w:val="49"/>
              </w:numPr>
              <w:ind w:left="388"/>
              <w:rPr>
                <w:color w:val="auto"/>
                <w:sz w:val="22"/>
                <w:szCs w:val="22"/>
              </w:rPr>
            </w:pPr>
            <w:r w:rsidRPr="00A313BD">
              <w:rPr>
                <w:sz w:val="22"/>
                <w:szCs w:val="22"/>
              </w:rPr>
              <w:t>The origins and growth of German nationalism from 1789;</w:t>
            </w:r>
          </w:p>
        </w:tc>
        <w:tc>
          <w:tcPr>
            <w:tcW w:w="8775" w:type="dxa"/>
          </w:tcPr>
          <w:p w:rsidR="00A313BD" w:rsidRPr="00A313BD" w:rsidRDefault="00A313BD" w:rsidP="00DA0735">
            <w:pPr>
              <w:pStyle w:val="Default"/>
              <w:numPr>
                <w:ilvl w:val="0"/>
                <w:numId w:val="48"/>
              </w:numPr>
              <w:ind w:left="334"/>
              <w:rPr>
                <w:color w:val="auto"/>
                <w:sz w:val="22"/>
                <w:szCs w:val="22"/>
              </w:rPr>
            </w:pPr>
            <w:r w:rsidRPr="00A313BD">
              <w:rPr>
                <w:color w:val="auto"/>
                <w:sz w:val="22"/>
                <w:szCs w:val="22"/>
              </w:rPr>
              <w:t xml:space="preserve">German ideas and concepts about nationalism, including Friedrich Karl von Moser, Johan Gottlieb Fichte, Johann </w:t>
            </w:r>
            <w:proofErr w:type="spellStart"/>
            <w:r w:rsidRPr="00A313BD">
              <w:rPr>
                <w:color w:val="auto"/>
                <w:sz w:val="22"/>
                <w:szCs w:val="22"/>
              </w:rPr>
              <w:t>Gottfied</w:t>
            </w:r>
            <w:proofErr w:type="spellEnd"/>
            <w:r w:rsidRPr="00A313BD">
              <w:rPr>
                <w:color w:val="auto"/>
                <w:sz w:val="22"/>
                <w:szCs w:val="22"/>
              </w:rPr>
              <w:t xml:space="preserve"> Herder, Immanuel Kant, George Hegel and Ernst </w:t>
            </w:r>
            <w:proofErr w:type="spellStart"/>
            <w:r w:rsidRPr="00A313BD">
              <w:rPr>
                <w:color w:val="auto"/>
                <w:sz w:val="22"/>
                <w:szCs w:val="22"/>
              </w:rPr>
              <w:t>Andt</w:t>
            </w:r>
            <w:proofErr w:type="spellEnd"/>
          </w:p>
        </w:tc>
      </w:tr>
      <w:tr w:rsidR="00A313BD" w:rsidRPr="00A313BD" w:rsidTr="00DA0735">
        <w:tc>
          <w:tcPr>
            <w:tcW w:w="1951" w:type="dxa"/>
          </w:tcPr>
          <w:p w:rsidR="00A313BD" w:rsidRPr="00A313BD" w:rsidRDefault="00A313BD" w:rsidP="00DA0735">
            <w:pPr>
              <w:pStyle w:val="Default"/>
              <w:ind w:left="28"/>
              <w:rPr>
                <w:sz w:val="22"/>
                <w:szCs w:val="22"/>
              </w:rPr>
            </w:pPr>
            <w:r w:rsidRPr="00A313BD">
              <w:rPr>
                <w:sz w:val="22"/>
                <w:szCs w:val="22"/>
              </w:rPr>
              <w:t>1</w:t>
            </w:r>
          </w:p>
        </w:tc>
        <w:tc>
          <w:tcPr>
            <w:tcW w:w="4888" w:type="dxa"/>
          </w:tcPr>
          <w:p w:rsidR="00A313BD" w:rsidRPr="00A313BD" w:rsidRDefault="00A313BD" w:rsidP="00DA0735">
            <w:pPr>
              <w:pStyle w:val="Default"/>
              <w:numPr>
                <w:ilvl w:val="0"/>
                <w:numId w:val="49"/>
              </w:numPr>
              <w:ind w:left="388"/>
              <w:rPr>
                <w:sz w:val="22"/>
                <w:szCs w:val="22"/>
              </w:rPr>
            </w:pPr>
            <w:r w:rsidRPr="00A313BD">
              <w:rPr>
                <w:sz w:val="22"/>
                <w:szCs w:val="22"/>
              </w:rPr>
              <w:t>the impact of Napoleon and the Congress of Vienna;</w:t>
            </w:r>
          </w:p>
          <w:p w:rsidR="00A313BD" w:rsidRPr="00A313BD" w:rsidRDefault="00A313BD" w:rsidP="00DA0735">
            <w:pPr>
              <w:pStyle w:val="Default"/>
              <w:ind w:left="388"/>
              <w:rPr>
                <w:sz w:val="22"/>
                <w:szCs w:val="22"/>
              </w:rPr>
            </w:pPr>
          </w:p>
          <w:p w:rsidR="00A313BD" w:rsidRPr="00A313BD" w:rsidRDefault="00A313BD" w:rsidP="00DA0735">
            <w:pPr>
              <w:pStyle w:val="Default"/>
              <w:numPr>
                <w:ilvl w:val="0"/>
                <w:numId w:val="49"/>
              </w:numPr>
              <w:ind w:left="388"/>
              <w:rPr>
                <w:color w:val="auto"/>
                <w:sz w:val="22"/>
                <w:szCs w:val="22"/>
              </w:rPr>
            </w:pPr>
            <w:r w:rsidRPr="00A313BD">
              <w:rPr>
                <w:sz w:val="22"/>
                <w:szCs w:val="22"/>
              </w:rPr>
              <w:t>assessment and comparison of the contributions of Napoleon, Metternich, Bismarck and Wilhelm II;</w:t>
            </w:r>
          </w:p>
        </w:tc>
        <w:tc>
          <w:tcPr>
            <w:tcW w:w="8775" w:type="dxa"/>
          </w:tcPr>
          <w:p w:rsidR="00A313BD" w:rsidRPr="00A313BD" w:rsidRDefault="00A313BD" w:rsidP="00DA0735">
            <w:pPr>
              <w:pStyle w:val="Default"/>
              <w:numPr>
                <w:ilvl w:val="0"/>
                <w:numId w:val="48"/>
              </w:numPr>
              <w:ind w:left="334"/>
              <w:rPr>
                <w:color w:val="auto"/>
                <w:sz w:val="22"/>
                <w:szCs w:val="22"/>
              </w:rPr>
            </w:pPr>
            <w:r w:rsidRPr="00A313BD">
              <w:rPr>
                <w:color w:val="auto"/>
                <w:sz w:val="22"/>
                <w:szCs w:val="22"/>
              </w:rPr>
              <w:t>Impact of the French revolution and the Napoleonic settlement on Germany</w:t>
            </w:r>
          </w:p>
        </w:tc>
      </w:tr>
      <w:tr w:rsidR="00A313BD" w:rsidRPr="00A313BD" w:rsidTr="00DA0735">
        <w:tc>
          <w:tcPr>
            <w:tcW w:w="1951" w:type="dxa"/>
          </w:tcPr>
          <w:p w:rsidR="00A313BD" w:rsidRPr="00A313BD" w:rsidRDefault="00A313BD" w:rsidP="00DA0735">
            <w:pPr>
              <w:pStyle w:val="Default"/>
              <w:ind w:left="28"/>
              <w:rPr>
                <w:sz w:val="22"/>
                <w:szCs w:val="22"/>
              </w:rPr>
            </w:pPr>
            <w:r w:rsidRPr="00A313BD">
              <w:rPr>
                <w:sz w:val="22"/>
                <w:szCs w:val="22"/>
              </w:rPr>
              <w:t>2</w:t>
            </w:r>
          </w:p>
        </w:tc>
        <w:tc>
          <w:tcPr>
            <w:tcW w:w="4888" w:type="dxa"/>
          </w:tcPr>
          <w:p w:rsidR="00A313BD" w:rsidRPr="00A313BD" w:rsidRDefault="00A313BD" w:rsidP="00DA0735">
            <w:pPr>
              <w:pStyle w:val="Default"/>
              <w:numPr>
                <w:ilvl w:val="0"/>
                <w:numId w:val="49"/>
              </w:numPr>
              <w:ind w:left="388"/>
              <w:rPr>
                <w:color w:val="auto"/>
                <w:sz w:val="22"/>
                <w:szCs w:val="22"/>
              </w:rPr>
            </w:pPr>
            <w:r w:rsidRPr="00A313BD">
              <w:rPr>
                <w:sz w:val="22"/>
                <w:szCs w:val="22"/>
              </w:rPr>
              <w:t>the impact of Napoleon and the Congress of Vienna;</w:t>
            </w:r>
          </w:p>
        </w:tc>
        <w:tc>
          <w:tcPr>
            <w:tcW w:w="8775" w:type="dxa"/>
          </w:tcPr>
          <w:p w:rsidR="00A313BD" w:rsidRPr="00A313BD" w:rsidRDefault="00A313BD" w:rsidP="00DA0735">
            <w:pPr>
              <w:pStyle w:val="Default"/>
              <w:numPr>
                <w:ilvl w:val="0"/>
                <w:numId w:val="48"/>
              </w:numPr>
              <w:ind w:left="334"/>
              <w:rPr>
                <w:color w:val="auto"/>
                <w:sz w:val="22"/>
                <w:szCs w:val="22"/>
              </w:rPr>
            </w:pPr>
            <w:r w:rsidRPr="00A313BD">
              <w:rPr>
                <w:color w:val="auto"/>
                <w:sz w:val="22"/>
                <w:szCs w:val="22"/>
              </w:rPr>
              <w:t>Growing German opposition to Napoleon will and development of German Nationalism.</w:t>
            </w:r>
          </w:p>
        </w:tc>
      </w:tr>
      <w:tr w:rsidR="00A313BD" w:rsidRPr="00A313BD" w:rsidTr="00DA0735">
        <w:tc>
          <w:tcPr>
            <w:tcW w:w="1951" w:type="dxa"/>
          </w:tcPr>
          <w:p w:rsidR="00A313BD" w:rsidRPr="00A313BD" w:rsidRDefault="00A313BD" w:rsidP="00DA0735">
            <w:pPr>
              <w:pStyle w:val="Default"/>
              <w:ind w:left="28"/>
              <w:rPr>
                <w:sz w:val="22"/>
                <w:szCs w:val="22"/>
              </w:rPr>
            </w:pPr>
            <w:r w:rsidRPr="00A313BD">
              <w:rPr>
                <w:sz w:val="22"/>
                <w:szCs w:val="22"/>
              </w:rPr>
              <w:t>2</w:t>
            </w:r>
          </w:p>
        </w:tc>
        <w:tc>
          <w:tcPr>
            <w:tcW w:w="4888" w:type="dxa"/>
          </w:tcPr>
          <w:p w:rsidR="00A313BD" w:rsidRPr="00A313BD" w:rsidRDefault="00A313BD" w:rsidP="00DA0735">
            <w:pPr>
              <w:pStyle w:val="Default"/>
              <w:numPr>
                <w:ilvl w:val="0"/>
                <w:numId w:val="49"/>
              </w:numPr>
              <w:ind w:left="388"/>
              <w:rPr>
                <w:color w:val="auto"/>
                <w:sz w:val="22"/>
                <w:szCs w:val="22"/>
              </w:rPr>
            </w:pPr>
            <w:r w:rsidRPr="00A313BD">
              <w:rPr>
                <w:sz w:val="22"/>
                <w:szCs w:val="22"/>
              </w:rPr>
              <w:t>Managing German nationalism and its opponents;</w:t>
            </w:r>
          </w:p>
        </w:tc>
        <w:tc>
          <w:tcPr>
            <w:tcW w:w="8775" w:type="dxa"/>
          </w:tcPr>
          <w:p w:rsidR="00A313BD" w:rsidRPr="00A313BD" w:rsidRDefault="00A313BD" w:rsidP="00DA0735">
            <w:pPr>
              <w:pStyle w:val="Default"/>
              <w:numPr>
                <w:ilvl w:val="0"/>
                <w:numId w:val="48"/>
              </w:numPr>
              <w:ind w:left="334"/>
              <w:rPr>
                <w:color w:val="auto"/>
                <w:sz w:val="22"/>
                <w:szCs w:val="22"/>
              </w:rPr>
            </w:pPr>
            <w:r w:rsidRPr="00A313BD">
              <w:rPr>
                <w:color w:val="auto"/>
                <w:sz w:val="22"/>
                <w:szCs w:val="22"/>
              </w:rPr>
              <w:t>Growth of Prussia and increasing importance in early 1800s</w:t>
            </w:r>
          </w:p>
        </w:tc>
      </w:tr>
    </w:tbl>
    <w:p w:rsidR="00A313BD" w:rsidRDefault="00A313BD" w:rsidP="008E5637">
      <w:pPr>
        <w:rPr>
          <w:bCs/>
        </w:rPr>
        <w:sectPr w:rsidR="00A313BD" w:rsidSect="00A313BD">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Pr>
      <w:tblGrid>
        <w:gridCol w:w="1951"/>
        <w:gridCol w:w="4888"/>
        <w:gridCol w:w="8775"/>
      </w:tblGrid>
      <w:tr w:rsidR="00A313BD" w:rsidRPr="00A313BD" w:rsidTr="00A313BD">
        <w:trPr>
          <w:trHeight w:val="422"/>
        </w:trPr>
        <w:tc>
          <w:tcPr>
            <w:tcW w:w="1951" w:type="dxa"/>
          </w:tcPr>
          <w:p w:rsidR="00A313BD" w:rsidRPr="00A313BD" w:rsidRDefault="00A313BD" w:rsidP="00DA0735">
            <w:pPr>
              <w:rPr>
                <w:b/>
                <w:color w:val="000000" w:themeColor="text1"/>
              </w:rPr>
            </w:pPr>
            <w:r w:rsidRPr="00A313BD">
              <w:rPr>
                <w:b/>
                <w:color w:val="000000" w:themeColor="text1"/>
              </w:rPr>
              <w:lastRenderedPageBreak/>
              <w:t>Week:</w:t>
            </w:r>
          </w:p>
        </w:tc>
        <w:tc>
          <w:tcPr>
            <w:tcW w:w="4888" w:type="dxa"/>
          </w:tcPr>
          <w:p w:rsidR="00A313BD" w:rsidRPr="00A313BD" w:rsidRDefault="00A313BD" w:rsidP="00DA0735">
            <w:pPr>
              <w:rPr>
                <w:b/>
                <w:color w:val="000000" w:themeColor="text1"/>
              </w:rPr>
            </w:pPr>
            <w:r w:rsidRPr="00A313BD">
              <w:rPr>
                <w:b/>
                <w:color w:val="000000" w:themeColor="text1"/>
              </w:rPr>
              <w:t>Indicative content from specification</w:t>
            </w:r>
          </w:p>
        </w:tc>
        <w:tc>
          <w:tcPr>
            <w:tcW w:w="8775" w:type="dxa"/>
          </w:tcPr>
          <w:p w:rsidR="00A313BD" w:rsidRPr="00A313BD" w:rsidRDefault="00A313BD" w:rsidP="00DA0735">
            <w:pPr>
              <w:rPr>
                <w:b/>
                <w:color w:val="000000" w:themeColor="text1"/>
              </w:rPr>
            </w:pPr>
            <w:r w:rsidRPr="00A313BD">
              <w:rPr>
                <w:b/>
                <w:color w:val="000000" w:themeColor="text1"/>
              </w:rPr>
              <w:t>Chronological Content</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2</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Managing German nationalism and its opponents;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The War of liberation and its impact on German nationalists</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3</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Managing German nationalism and its opponents;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The impact of the Vienna Congress – increase in prominence of Austria and Prussia in the region.</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3</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Managing German nationalism and its opponents;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 xml:space="preserve">The creation of the German Confederation and impact on German nationalists </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4</w:t>
            </w:r>
          </w:p>
        </w:tc>
        <w:tc>
          <w:tcPr>
            <w:tcW w:w="4888" w:type="dxa"/>
          </w:tcPr>
          <w:p w:rsidR="006E3D00" w:rsidRPr="00A313BD" w:rsidRDefault="006E3D00" w:rsidP="007F6DDC">
            <w:pPr>
              <w:pStyle w:val="Default"/>
              <w:numPr>
                <w:ilvl w:val="0"/>
                <w:numId w:val="49"/>
              </w:numPr>
              <w:ind w:left="388"/>
              <w:rPr>
                <w:sz w:val="22"/>
                <w:szCs w:val="22"/>
              </w:rPr>
            </w:pPr>
            <w:r w:rsidRPr="00A313BD">
              <w:rPr>
                <w:sz w:val="22"/>
                <w:szCs w:val="22"/>
              </w:rPr>
              <w:t>Managing German nationalism and its opponents;</w:t>
            </w:r>
          </w:p>
          <w:p w:rsidR="006E3D00" w:rsidRPr="00A313BD" w:rsidRDefault="006E3D00" w:rsidP="007F6DDC">
            <w:pPr>
              <w:pStyle w:val="Default"/>
              <w:numPr>
                <w:ilvl w:val="0"/>
                <w:numId w:val="49"/>
              </w:numPr>
              <w:ind w:left="388"/>
              <w:rPr>
                <w:sz w:val="22"/>
                <w:szCs w:val="22"/>
              </w:rPr>
            </w:pPr>
            <w:r w:rsidRPr="00A313BD">
              <w:rPr>
                <w:sz w:val="22"/>
                <w:szCs w:val="22"/>
              </w:rPr>
              <w:t>assessment and comparison of the contributions of Napoleon, Metternich, Bismarck and Wilhelm II;</w:t>
            </w:r>
          </w:p>
          <w:p w:rsidR="006E3D00" w:rsidRPr="00A313BD" w:rsidRDefault="006E3D00" w:rsidP="007F6DDC">
            <w:pPr>
              <w:pStyle w:val="Default"/>
              <w:numPr>
                <w:ilvl w:val="0"/>
                <w:numId w:val="49"/>
              </w:numPr>
              <w:ind w:left="388"/>
              <w:rPr>
                <w:color w:val="auto"/>
                <w:sz w:val="22"/>
                <w:szCs w:val="22"/>
              </w:rPr>
            </w:pPr>
            <w:r w:rsidRPr="00A313BD">
              <w:rPr>
                <w:sz w:val="22"/>
                <w:szCs w:val="22"/>
              </w:rPr>
              <w:t>the contribution of political groups (liberals, conservatives, socialists and communists);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Influence of Metternich and opposition from German liberals – including their aims of social and political freedoms and a united Germany and issues they faced following withdrawal of French.</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4</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Managing German nationalism and its opponents;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Student movements and the Wartburg Festival and responses from Metternich, including the Congress of Troppau and continued repression of nationalism</w:t>
            </w:r>
          </w:p>
        </w:tc>
      </w:tr>
      <w:tr w:rsidR="006E3D00" w:rsidRPr="00A313BD" w:rsidTr="006E3D00">
        <w:trPr>
          <w:trHeight w:val="314"/>
        </w:trPr>
        <w:tc>
          <w:tcPr>
            <w:tcW w:w="1951" w:type="dxa"/>
          </w:tcPr>
          <w:p w:rsidR="006E3D00" w:rsidRPr="00A313BD" w:rsidRDefault="00BD6EFD" w:rsidP="00103C3A">
            <w:pPr>
              <w:pStyle w:val="Default"/>
              <w:ind w:left="28"/>
              <w:rPr>
                <w:sz w:val="22"/>
                <w:szCs w:val="22"/>
              </w:rPr>
            </w:pPr>
            <w:r w:rsidRPr="00A313BD">
              <w:rPr>
                <w:sz w:val="22"/>
                <w:szCs w:val="22"/>
              </w:rPr>
              <w:t>4</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origins and growth of German nationalism from 1789;</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Increasing nationalism in the 1830s and Liberal revolutions in 1830, aims and demands.</w:t>
            </w:r>
          </w:p>
        </w:tc>
      </w:tr>
      <w:tr w:rsidR="006E3D00" w:rsidRPr="00A313BD" w:rsidTr="006E3D00">
        <w:trPr>
          <w:trHeight w:val="314"/>
        </w:trPr>
        <w:tc>
          <w:tcPr>
            <w:tcW w:w="1951" w:type="dxa"/>
          </w:tcPr>
          <w:p w:rsidR="006E3D00" w:rsidRPr="00A313BD" w:rsidRDefault="00BD6EFD" w:rsidP="00103C3A">
            <w:pPr>
              <w:pStyle w:val="Default"/>
              <w:ind w:left="28"/>
              <w:rPr>
                <w:color w:val="auto"/>
                <w:sz w:val="22"/>
                <w:szCs w:val="22"/>
              </w:rPr>
            </w:pPr>
            <w:r w:rsidRPr="00A313BD">
              <w:rPr>
                <w:color w:val="auto"/>
                <w:sz w:val="22"/>
                <w:szCs w:val="22"/>
              </w:rPr>
              <w:t>4</w:t>
            </w:r>
          </w:p>
        </w:tc>
        <w:tc>
          <w:tcPr>
            <w:tcW w:w="4888" w:type="dxa"/>
          </w:tcPr>
          <w:p w:rsidR="006E3D00" w:rsidRPr="00A313BD" w:rsidRDefault="00FB7056" w:rsidP="00FB7056">
            <w:pPr>
              <w:pStyle w:val="Default"/>
              <w:numPr>
                <w:ilvl w:val="0"/>
                <w:numId w:val="49"/>
              </w:numPr>
              <w:ind w:left="459"/>
              <w:rPr>
                <w:color w:val="auto"/>
                <w:sz w:val="22"/>
                <w:szCs w:val="22"/>
              </w:rPr>
            </w:pPr>
            <w:r w:rsidRPr="00A313BD">
              <w:rPr>
                <w:color w:val="auto"/>
                <w:sz w:val="22"/>
                <w:szCs w:val="22"/>
              </w:rPr>
              <w:t>Managing German nationalism and its opponents;</w:t>
            </w:r>
          </w:p>
        </w:tc>
        <w:tc>
          <w:tcPr>
            <w:tcW w:w="8775" w:type="dxa"/>
          </w:tcPr>
          <w:p w:rsidR="006E3D00" w:rsidRPr="00A313BD" w:rsidRDefault="006E3D00" w:rsidP="007F3667">
            <w:pPr>
              <w:pStyle w:val="Default"/>
              <w:numPr>
                <w:ilvl w:val="0"/>
                <w:numId w:val="48"/>
              </w:numPr>
              <w:ind w:left="334"/>
              <w:rPr>
                <w:sz w:val="22"/>
                <w:szCs w:val="22"/>
              </w:rPr>
            </w:pPr>
            <w:r w:rsidRPr="00A313BD">
              <w:rPr>
                <w:color w:val="auto"/>
                <w:sz w:val="22"/>
                <w:szCs w:val="22"/>
              </w:rPr>
              <w:t>Reforms made in the 1830s</w:t>
            </w:r>
          </w:p>
        </w:tc>
      </w:tr>
      <w:tr w:rsidR="006E3D00" w:rsidRPr="00A313BD" w:rsidTr="006E3D00">
        <w:trPr>
          <w:trHeight w:val="314"/>
        </w:trPr>
        <w:tc>
          <w:tcPr>
            <w:tcW w:w="1951" w:type="dxa"/>
          </w:tcPr>
          <w:p w:rsidR="006E3D00" w:rsidRPr="00A313BD" w:rsidRDefault="00BD6EFD" w:rsidP="00103C3A">
            <w:pPr>
              <w:pStyle w:val="Default"/>
              <w:ind w:left="28"/>
              <w:rPr>
                <w:sz w:val="22"/>
                <w:szCs w:val="22"/>
              </w:rPr>
            </w:pPr>
            <w:r w:rsidRPr="00A313BD">
              <w:rPr>
                <w:sz w:val="22"/>
                <w:szCs w:val="22"/>
              </w:rPr>
              <w:t>5</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impact of external forces and circumstances on German nationalism including the decline of Austria;</w:t>
            </w:r>
          </w:p>
        </w:tc>
        <w:tc>
          <w:tcPr>
            <w:tcW w:w="8775" w:type="dxa"/>
          </w:tcPr>
          <w:p w:rsidR="006E3D00" w:rsidRPr="00A313BD" w:rsidRDefault="006E3D00" w:rsidP="007F3667">
            <w:pPr>
              <w:pStyle w:val="Default"/>
              <w:numPr>
                <w:ilvl w:val="0"/>
                <w:numId w:val="48"/>
              </w:numPr>
              <w:ind w:left="334"/>
              <w:rPr>
                <w:sz w:val="22"/>
                <w:szCs w:val="22"/>
              </w:rPr>
            </w:pPr>
            <w:r w:rsidRPr="00A313BD">
              <w:rPr>
                <w:color w:val="auto"/>
                <w:sz w:val="22"/>
                <w:szCs w:val="22"/>
              </w:rPr>
              <w:t>Reactions from Austria</w:t>
            </w:r>
          </w:p>
        </w:tc>
      </w:tr>
      <w:tr w:rsidR="006E3D00" w:rsidRPr="00A313BD" w:rsidTr="006E3D00">
        <w:trPr>
          <w:trHeight w:val="314"/>
        </w:trPr>
        <w:tc>
          <w:tcPr>
            <w:tcW w:w="1951" w:type="dxa"/>
          </w:tcPr>
          <w:p w:rsidR="006E3D00" w:rsidRPr="00A313BD" w:rsidRDefault="00BD6EFD" w:rsidP="00103C3A">
            <w:pPr>
              <w:pStyle w:val="Default"/>
              <w:ind w:left="28"/>
              <w:rPr>
                <w:sz w:val="22"/>
                <w:szCs w:val="22"/>
              </w:rPr>
            </w:pPr>
            <w:r w:rsidRPr="00A313BD">
              <w:rPr>
                <w:sz w:val="22"/>
                <w:szCs w:val="22"/>
              </w:rPr>
              <w:t>5</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treatment of Germany’s minorities;</w:t>
            </w:r>
          </w:p>
        </w:tc>
        <w:tc>
          <w:tcPr>
            <w:tcW w:w="8775" w:type="dxa"/>
          </w:tcPr>
          <w:p w:rsidR="006E3D00" w:rsidRPr="00A313BD" w:rsidRDefault="006E3D00" w:rsidP="008830E3">
            <w:pPr>
              <w:pStyle w:val="ListParagraph"/>
              <w:numPr>
                <w:ilvl w:val="0"/>
                <w:numId w:val="48"/>
              </w:numPr>
              <w:ind w:left="330"/>
            </w:pPr>
            <w:r w:rsidRPr="00A313BD">
              <w:t>Young Germany movement</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5</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Economic nationalism and modernisation;</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Economic Developments contributing to unification</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6</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Economic nationalism and modernisation;</w:t>
            </w:r>
          </w:p>
        </w:tc>
        <w:tc>
          <w:tcPr>
            <w:tcW w:w="8775" w:type="dxa"/>
          </w:tcPr>
          <w:p w:rsidR="006E3D00" w:rsidRPr="00A313BD" w:rsidRDefault="006E3D00" w:rsidP="00A76FE3">
            <w:pPr>
              <w:pStyle w:val="Default"/>
              <w:numPr>
                <w:ilvl w:val="0"/>
                <w:numId w:val="48"/>
              </w:numPr>
              <w:ind w:left="334"/>
              <w:rPr>
                <w:sz w:val="22"/>
                <w:szCs w:val="22"/>
              </w:rPr>
            </w:pPr>
            <w:r w:rsidRPr="00A313BD">
              <w:rPr>
                <w:color w:val="auto"/>
                <w:sz w:val="22"/>
                <w:szCs w:val="22"/>
              </w:rPr>
              <w:t>The Prussian Customs Union and other unions in Germany – impact on nationalism</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6</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Zollverein;</w:t>
            </w:r>
          </w:p>
        </w:tc>
        <w:tc>
          <w:tcPr>
            <w:tcW w:w="8775" w:type="dxa"/>
          </w:tcPr>
          <w:p w:rsidR="006E3D00" w:rsidRPr="00A313BD" w:rsidRDefault="006E3D00" w:rsidP="008830E3">
            <w:pPr>
              <w:pStyle w:val="ListParagraph"/>
              <w:numPr>
                <w:ilvl w:val="0"/>
                <w:numId w:val="48"/>
              </w:numPr>
              <w:ind w:left="330"/>
            </w:pPr>
            <w:r w:rsidRPr="00A313BD">
              <w:t>The Zollverein – Prussian aims</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7</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impact of railways;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Development of the railway and its impact in reducing the barriers between states</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7</w:t>
            </w:r>
          </w:p>
        </w:tc>
        <w:tc>
          <w:tcPr>
            <w:tcW w:w="4888" w:type="dxa"/>
          </w:tcPr>
          <w:p w:rsidR="006E3D00" w:rsidRPr="00A313BD" w:rsidRDefault="006E3D00" w:rsidP="00FB7056">
            <w:pPr>
              <w:pStyle w:val="Default"/>
              <w:numPr>
                <w:ilvl w:val="0"/>
                <w:numId w:val="49"/>
              </w:numPr>
              <w:ind w:left="388"/>
              <w:rPr>
                <w:color w:val="auto"/>
                <w:sz w:val="22"/>
                <w:szCs w:val="22"/>
              </w:rPr>
            </w:pPr>
            <w:r w:rsidRPr="00A313BD">
              <w:rPr>
                <w:sz w:val="22"/>
                <w:szCs w:val="22"/>
              </w:rPr>
              <w:t>the economic and social effects of industrialisation including the rise of socialism;</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Impact of growing economic unity</w:t>
            </w:r>
          </w:p>
        </w:tc>
      </w:tr>
      <w:tr w:rsidR="006E3D00" w:rsidRPr="00A313BD" w:rsidTr="006E3D00">
        <w:tc>
          <w:tcPr>
            <w:tcW w:w="1951" w:type="dxa"/>
          </w:tcPr>
          <w:p w:rsidR="006E3D00" w:rsidRPr="00A313BD" w:rsidRDefault="00BD6EFD" w:rsidP="00103C3A">
            <w:pPr>
              <w:pStyle w:val="Default"/>
              <w:ind w:left="28"/>
              <w:rPr>
                <w:color w:val="auto"/>
                <w:sz w:val="22"/>
                <w:szCs w:val="22"/>
              </w:rPr>
            </w:pPr>
            <w:r w:rsidRPr="00A313BD">
              <w:rPr>
                <w:color w:val="auto"/>
                <w:sz w:val="22"/>
                <w:szCs w:val="22"/>
              </w:rPr>
              <w:lastRenderedPageBreak/>
              <w:t>8</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color w:val="auto"/>
                <w:sz w:val="22"/>
                <w:szCs w:val="22"/>
              </w:rPr>
              <w:t>radical nationalism</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Growing nationalism in the 1840s created by external events – the 1840 crisis and the Schleswig and Holstein crisis with Denmark.</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8</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sz w:val="22"/>
                <w:szCs w:val="22"/>
              </w:rPr>
              <w:t>the contribution of political groups (liberals, conservatives, socialists and communists);</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Continued growth of liberalism in the 1840s in the German states and in particular the South West and Prussia.</w:t>
            </w:r>
          </w:p>
        </w:tc>
      </w:tr>
      <w:tr w:rsidR="006E3D00" w:rsidRPr="00A313BD" w:rsidTr="006E3D00">
        <w:tc>
          <w:tcPr>
            <w:tcW w:w="1951" w:type="dxa"/>
          </w:tcPr>
          <w:p w:rsidR="006E3D00" w:rsidRPr="00A313BD" w:rsidRDefault="00BD6EFD" w:rsidP="00103C3A">
            <w:pPr>
              <w:pStyle w:val="Default"/>
              <w:ind w:left="28"/>
              <w:rPr>
                <w:b/>
                <w:bCs/>
                <w:sz w:val="22"/>
                <w:szCs w:val="22"/>
              </w:rPr>
            </w:pPr>
            <w:r w:rsidRPr="00A313BD">
              <w:rPr>
                <w:b/>
                <w:bCs/>
                <w:sz w:val="22"/>
                <w:szCs w:val="22"/>
              </w:rPr>
              <w:t>9</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b/>
                <w:bCs/>
                <w:sz w:val="22"/>
                <w:szCs w:val="22"/>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 xml:space="preserve">Factors contributing to the growth of liberalism in Germany, including newspapers and the </w:t>
            </w:r>
            <w:proofErr w:type="spellStart"/>
            <w:r w:rsidRPr="00A313BD">
              <w:rPr>
                <w:color w:val="auto"/>
                <w:sz w:val="22"/>
                <w:szCs w:val="22"/>
                <w:highlight w:val="yellow"/>
              </w:rPr>
              <w:t>Hippenhelm</w:t>
            </w:r>
            <w:proofErr w:type="spellEnd"/>
            <w:r w:rsidRPr="00A313BD">
              <w:rPr>
                <w:color w:val="auto"/>
                <w:sz w:val="22"/>
                <w:szCs w:val="22"/>
                <w:highlight w:val="yellow"/>
              </w:rPr>
              <w:t xml:space="preserve"> meeting.</w:t>
            </w:r>
          </w:p>
        </w:tc>
      </w:tr>
      <w:tr w:rsidR="006E3D00" w:rsidRPr="00A313BD" w:rsidTr="006E3D00">
        <w:tc>
          <w:tcPr>
            <w:tcW w:w="1951" w:type="dxa"/>
          </w:tcPr>
          <w:p w:rsidR="006E3D00" w:rsidRPr="00A313BD" w:rsidRDefault="00BD6EFD" w:rsidP="00103C3A">
            <w:pPr>
              <w:pStyle w:val="Default"/>
              <w:ind w:left="28"/>
              <w:rPr>
                <w:b/>
                <w:bCs/>
                <w:sz w:val="22"/>
                <w:szCs w:val="22"/>
              </w:rPr>
            </w:pPr>
            <w:r w:rsidRPr="00A313BD">
              <w:rPr>
                <w:b/>
                <w:bCs/>
                <w:sz w:val="22"/>
                <w:szCs w:val="22"/>
              </w:rPr>
              <w:t>9</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b/>
                <w:bCs/>
                <w:sz w:val="22"/>
                <w:szCs w:val="22"/>
              </w:rPr>
              <w:t>1848/1849 Revolutions</w:t>
            </w:r>
          </w:p>
        </w:tc>
        <w:tc>
          <w:tcPr>
            <w:tcW w:w="8775" w:type="dxa"/>
          </w:tcPr>
          <w:p w:rsidR="006E3D00" w:rsidRPr="00A313BD" w:rsidRDefault="006E3D00" w:rsidP="008830E3">
            <w:pPr>
              <w:pStyle w:val="Default"/>
              <w:numPr>
                <w:ilvl w:val="0"/>
                <w:numId w:val="48"/>
              </w:numPr>
              <w:ind w:left="334"/>
              <w:rPr>
                <w:color w:val="auto"/>
                <w:sz w:val="22"/>
                <w:szCs w:val="22"/>
                <w:highlight w:val="yellow"/>
              </w:rPr>
            </w:pPr>
            <w:r w:rsidRPr="00A313BD">
              <w:rPr>
                <w:color w:val="auto"/>
                <w:sz w:val="22"/>
                <w:szCs w:val="22"/>
                <w:highlight w:val="yellow"/>
              </w:rPr>
              <w:t>Causes of the revolutions of 1848/9</w:t>
            </w:r>
          </w:p>
        </w:tc>
      </w:tr>
      <w:tr w:rsidR="006E3D00" w:rsidRPr="00A313BD" w:rsidTr="006E3D00">
        <w:tc>
          <w:tcPr>
            <w:tcW w:w="1951" w:type="dxa"/>
          </w:tcPr>
          <w:p w:rsidR="006E3D00" w:rsidRPr="00A313BD" w:rsidRDefault="00FB7056" w:rsidP="00103C3A">
            <w:pPr>
              <w:pStyle w:val="Default"/>
              <w:ind w:left="28"/>
              <w:rPr>
                <w:sz w:val="22"/>
                <w:szCs w:val="22"/>
              </w:rPr>
            </w:pPr>
            <w:r w:rsidRPr="00A313BD">
              <w:rPr>
                <w:sz w:val="22"/>
                <w:szCs w:val="22"/>
              </w:rPr>
              <w:t>1</w:t>
            </w:r>
            <w:r w:rsidR="00BD6EFD" w:rsidRPr="00A313BD">
              <w:rPr>
                <w:sz w:val="22"/>
                <w:szCs w:val="22"/>
              </w:rPr>
              <w:t>0</w:t>
            </w:r>
          </w:p>
        </w:tc>
        <w:tc>
          <w:tcPr>
            <w:tcW w:w="4888" w:type="dxa"/>
          </w:tcPr>
          <w:p w:rsidR="006E3D00" w:rsidRPr="00A313BD" w:rsidRDefault="006E3D00" w:rsidP="007F6DDC">
            <w:pPr>
              <w:pStyle w:val="Default"/>
              <w:numPr>
                <w:ilvl w:val="0"/>
                <w:numId w:val="49"/>
              </w:numPr>
              <w:ind w:left="388"/>
              <w:rPr>
                <w:sz w:val="22"/>
                <w:szCs w:val="22"/>
              </w:rPr>
            </w:pPr>
            <w:r w:rsidRPr="00A313BD">
              <w:rPr>
                <w:sz w:val="22"/>
                <w:szCs w:val="22"/>
              </w:rPr>
              <w:t>the economic and social effects of industrialisation including the rise of socialism;</w:t>
            </w:r>
          </w:p>
          <w:p w:rsidR="006E3D00" w:rsidRPr="00A313BD" w:rsidRDefault="006E3D00" w:rsidP="007F6DDC">
            <w:pPr>
              <w:pStyle w:val="Default"/>
              <w:numPr>
                <w:ilvl w:val="0"/>
                <w:numId w:val="49"/>
              </w:numPr>
              <w:ind w:left="388"/>
              <w:rPr>
                <w:color w:val="auto"/>
                <w:sz w:val="22"/>
                <w:szCs w:val="22"/>
              </w:rPr>
            </w:pPr>
            <w:r w:rsidRPr="00A313BD">
              <w:rPr>
                <w:b/>
                <w:bCs/>
                <w:sz w:val="22"/>
                <w:szCs w:val="22"/>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Increasing economic and social problems, including population growth, impact of urbanisation and industrialisation, the economic crisis of 1846-7 and issues with the class system.</w:t>
            </w:r>
          </w:p>
        </w:tc>
      </w:tr>
      <w:tr w:rsidR="006E3D00" w:rsidRPr="00A313BD" w:rsidTr="006E3D00">
        <w:tc>
          <w:tcPr>
            <w:tcW w:w="1951" w:type="dxa"/>
          </w:tcPr>
          <w:p w:rsidR="006E3D00" w:rsidRPr="00A313BD" w:rsidRDefault="00BD6EFD" w:rsidP="00103C3A">
            <w:pPr>
              <w:pStyle w:val="Default"/>
              <w:ind w:left="28"/>
              <w:rPr>
                <w:sz w:val="22"/>
                <w:szCs w:val="22"/>
              </w:rPr>
            </w:pPr>
            <w:r w:rsidRPr="00A313BD">
              <w:rPr>
                <w:sz w:val="22"/>
                <w:szCs w:val="22"/>
              </w:rPr>
              <w:t>10</w:t>
            </w:r>
          </w:p>
        </w:tc>
        <w:tc>
          <w:tcPr>
            <w:tcW w:w="4888" w:type="dxa"/>
          </w:tcPr>
          <w:p w:rsidR="006E3D00" w:rsidRPr="00A313BD" w:rsidRDefault="006E3D00" w:rsidP="007F6DDC">
            <w:pPr>
              <w:pStyle w:val="Default"/>
              <w:numPr>
                <w:ilvl w:val="0"/>
                <w:numId w:val="49"/>
              </w:numPr>
              <w:ind w:left="388"/>
              <w:rPr>
                <w:sz w:val="22"/>
                <w:szCs w:val="22"/>
              </w:rPr>
            </w:pPr>
            <w:r w:rsidRPr="00A313BD">
              <w:rPr>
                <w:sz w:val="22"/>
                <w:szCs w:val="22"/>
              </w:rPr>
              <w:t>the contribution of political groups (liberals, conservatives, socialists and communists);</w:t>
            </w:r>
          </w:p>
          <w:p w:rsidR="006E3D00" w:rsidRPr="00A313BD" w:rsidRDefault="006E3D00" w:rsidP="007F6DDC">
            <w:pPr>
              <w:pStyle w:val="Default"/>
              <w:numPr>
                <w:ilvl w:val="0"/>
                <w:numId w:val="49"/>
              </w:numPr>
              <w:ind w:left="388"/>
              <w:rPr>
                <w:color w:val="auto"/>
                <w:sz w:val="22"/>
                <w:szCs w:val="22"/>
              </w:rPr>
            </w:pPr>
            <w:r w:rsidRPr="00A313BD">
              <w:rPr>
                <w:b/>
                <w:bCs/>
                <w:sz w:val="22"/>
                <w:szCs w:val="22"/>
              </w:rPr>
              <w:t>1848/1849 Revolutions</w:t>
            </w:r>
          </w:p>
        </w:tc>
        <w:tc>
          <w:tcPr>
            <w:tcW w:w="8775" w:type="dxa"/>
          </w:tcPr>
          <w:p w:rsidR="006E3D00" w:rsidRPr="00A313BD" w:rsidRDefault="006E3D00" w:rsidP="008830E3">
            <w:pPr>
              <w:pStyle w:val="Default"/>
              <w:numPr>
                <w:ilvl w:val="0"/>
                <w:numId w:val="48"/>
              </w:numPr>
              <w:ind w:left="334"/>
              <w:rPr>
                <w:color w:val="auto"/>
                <w:sz w:val="22"/>
                <w:szCs w:val="22"/>
                <w:highlight w:val="yellow"/>
              </w:rPr>
            </w:pPr>
            <w:r w:rsidRPr="00A313BD">
              <w:rPr>
                <w:color w:val="auto"/>
                <w:sz w:val="22"/>
                <w:szCs w:val="22"/>
                <w:highlight w:val="yellow"/>
              </w:rPr>
              <w:t>The strength and influence of the intellectuals and the conservative forces.</w:t>
            </w:r>
          </w:p>
        </w:tc>
      </w:tr>
      <w:tr w:rsidR="006E3D00" w:rsidRPr="00A313BD" w:rsidTr="006E3D00">
        <w:tc>
          <w:tcPr>
            <w:tcW w:w="1951" w:type="dxa"/>
          </w:tcPr>
          <w:p w:rsidR="006E3D00" w:rsidRPr="00A313BD" w:rsidRDefault="00BD6EFD" w:rsidP="00103C3A">
            <w:pPr>
              <w:pStyle w:val="Default"/>
              <w:ind w:left="28"/>
              <w:rPr>
                <w:b/>
                <w:bCs/>
                <w:sz w:val="22"/>
                <w:szCs w:val="22"/>
              </w:rPr>
            </w:pPr>
            <w:r w:rsidRPr="00A313BD">
              <w:rPr>
                <w:b/>
                <w:bCs/>
                <w:sz w:val="22"/>
                <w:szCs w:val="22"/>
              </w:rPr>
              <w:t>10</w:t>
            </w:r>
          </w:p>
        </w:tc>
        <w:tc>
          <w:tcPr>
            <w:tcW w:w="4888" w:type="dxa"/>
          </w:tcPr>
          <w:p w:rsidR="006E3D00" w:rsidRPr="00A313BD" w:rsidRDefault="006E3D00" w:rsidP="007F6DDC">
            <w:pPr>
              <w:pStyle w:val="Default"/>
              <w:numPr>
                <w:ilvl w:val="0"/>
                <w:numId w:val="49"/>
              </w:numPr>
              <w:ind w:left="388"/>
              <w:rPr>
                <w:color w:val="auto"/>
                <w:sz w:val="22"/>
                <w:szCs w:val="22"/>
              </w:rPr>
            </w:pPr>
            <w:r w:rsidRPr="00A313BD">
              <w:rPr>
                <w:b/>
                <w:bCs/>
                <w:sz w:val="22"/>
                <w:szCs w:val="22"/>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Short term reasons for the outbreak of revolutions in Germany</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10</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830E3">
            <w:pPr>
              <w:pStyle w:val="Default"/>
              <w:numPr>
                <w:ilvl w:val="0"/>
                <w:numId w:val="48"/>
              </w:numPr>
              <w:ind w:left="334"/>
              <w:rPr>
                <w:color w:val="auto"/>
                <w:sz w:val="22"/>
                <w:szCs w:val="22"/>
                <w:highlight w:val="yellow"/>
              </w:rPr>
            </w:pPr>
            <w:r w:rsidRPr="00A313BD">
              <w:rPr>
                <w:color w:val="auto"/>
                <w:sz w:val="22"/>
                <w:szCs w:val="22"/>
                <w:highlight w:val="yellow"/>
              </w:rPr>
              <w:t>Events in Baden</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FA0953">
            <w:pPr>
              <w:pStyle w:val="Default"/>
              <w:numPr>
                <w:ilvl w:val="0"/>
                <w:numId w:val="48"/>
              </w:numPr>
              <w:ind w:left="334"/>
              <w:rPr>
                <w:sz w:val="22"/>
                <w:szCs w:val="22"/>
                <w:highlight w:val="yellow"/>
              </w:rPr>
            </w:pPr>
            <w:r w:rsidRPr="00A313BD">
              <w:rPr>
                <w:color w:val="auto"/>
                <w:sz w:val="22"/>
                <w:szCs w:val="22"/>
                <w:highlight w:val="yellow"/>
              </w:rPr>
              <w:t>Fall of Metternich</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Managing German nationalism and its opponents;</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830E3">
            <w:pPr>
              <w:pStyle w:val="ListParagraph"/>
              <w:numPr>
                <w:ilvl w:val="0"/>
                <w:numId w:val="48"/>
              </w:numPr>
              <w:ind w:left="330"/>
              <w:rPr>
                <w:highlight w:val="yellow"/>
              </w:rPr>
            </w:pPr>
            <w:r w:rsidRPr="00A313BD">
              <w:rPr>
                <w:highlight w:val="yellow"/>
              </w:rPr>
              <w:t>Revolutions in Prussia and the reactions of the authorities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830E3">
            <w:pPr>
              <w:pStyle w:val="Default"/>
              <w:numPr>
                <w:ilvl w:val="0"/>
                <w:numId w:val="48"/>
              </w:numPr>
              <w:ind w:left="334"/>
              <w:rPr>
                <w:color w:val="auto"/>
                <w:sz w:val="22"/>
                <w:szCs w:val="22"/>
                <w:highlight w:val="yellow"/>
              </w:rPr>
            </w:pPr>
            <w:r w:rsidRPr="00A313BD">
              <w:rPr>
                <w:color w:val="auto"/>
                <w:sz w:val="22"/>
                <w:szCs w:val="22"/>
                <w:highlight w:val="yellow"/>
              </w:rPr>
              <w:t>The Frankfurt Parliament – aims, organisation and work.</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E971C8">
            <w:pPr>
              <w:pStyle w:val="Default"/>
              <w:numPr>
                <w:ilvl w:val="0"/>
                <w:numId w:val="48"/>
              </w:numPr>
              <w:ind w:left="334"/>
              <w:rPr>
                <w:sz w:val="22"/>
                <w:szCs w:val="22"/>
                <w:highlight w:val="yellow"/>
              </w:rPr>
            </w:pPr>
            <w:r w:rsidRPr="00A313BD">
              <w:rPr>
                <w:color w:val="auto"/>
                <w:sz w:val="22"/>
                <w:szCs w:val="22"/>
                <w:highlight w:val="yellow"/>
              </w:rPr>
              <w:t>Aims of the new constitution and issues in its creation</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E971C8">
            <w:pPr>
              <w:pStyle w:val="Default"/>
              <w:numPr>
                <w:ilvl w:val="0"/>
                <w:numId w:val="48"/>
              </w:numPr>
              <w:ind w:left="334"/>
              <w:rPr>
                <w:sz w:val="22"/>
                <w:szCs w:val="22"/>
                <w:highlight w:val="yellow"/>
              </w:rPr>
            </w:pPr>
            <w:r w:rsidRPr="00A313BD">
              <w:rPr>
                <w:color w:val="auto"/>
                <w:sz w:val="22"/>
                <w:szCs w:val="22"/>
                <w:highlight w:val="yellow"/>
              </w:rPr>
              <w:t>The Provisional Central Power</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830E3">
            <w:pPr>
              <w:pStyle w:val="ListParagraph"/>
              <w:numPr>
                <w:ilvl w:val="0"/>
                <w:numId w:val="48"/>
              </w:numPr>
              <w:ind w:left="330"/>
              <w:rPr>
                <w:highlight w:val="yellow"/>
              </w:rPr>
            </w:pPr>
            <w:r w:rsidRPr="00A313BD">
              <w:rPr>
                <w:highlight w:val="yellow"/>
              </w:rPr>
              <w:t>The Fifty Articles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 xml:space="preserve">different views, </w:t>
            </w:r>
            <w:proofErr w:type="spellStart"/>
            <w:r w:rsidRPr="00A313BD">
              <w:rPr>
                <w:color w:val="000000"/>
              </w:rPr>
              <w:t>Kleindeutsch</w:t>
            </w:r>
            <w:proofErr w:type="spellEnd"/>
            <w:r w:rsidRPr="00A313BD">
              <w:rPr>
                <w:color w:val="000000"/>
              </w:rPr>
              <w:t xml:space="preserve"> v </w:t>
            </w:r>
            <w:proofErr w:type="spellStart"/>
            <w:r w:rsidRPr="00A313BD">
              <w:rPr>
                <w:color w:val="000000"/>
              </w:rPr>
              <w:t>Grossdeutsch</w:t>
            </w:r>
            <w:proofErr w:type="spellEnd"/>
            <w:r w:rsidRPr="00A313BD">
              <w:rPr>
                <w:color w:val="000000"/>
              </w:rPr>
              <w: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 xml:space="preserve">The German Question and the concepts of </w:t>
            </w:r>
            <w:proofErr w:type="spellStart"/>
            <w:r w:rsidRPr="00A313BD">
              <w:rPr>
                <w:color w:val="auto"/>
                <w:sz w:val="22"/>
                <w:szCs w:val="22"/>
                <w:highlight w:val="yellow"/>
              </w:rPr>
              <w:t>Kleindeutschland</w:t>
            </w:r>
            <w:proofErr w:type="spellEnd"/>
            <w:r w:rsidRPr="00A313BD">
              <w:rPr>
                <w:color w:val="auto"/>
                <w:sz w:val="22"/>
                <w:szCs w:val="22"/>
                <w:highlight w:val="yellow"/>
              </w:rPr>
              <w:t xml:space="preserve"> and </w:t>
            </w:r>
            <w:proofErr w:type="spellStart"/>
            <w:r w:rsidRPr="00A313BD">
              <w:rPr>
                <w:color w:val="auto"/>
                <w:sz w:val="22"/>
                <w:szCs w:val="22"/>
                <w:highlight w:val="yellow"/>
              </w:rPr>
              <w:t>Großdeutschland</w:t>
            </w:r>
            <w:proofErr w:type="spellEnd"/>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Cs/>
              </w:rPr>
            </w:pPr>
            <w:r w:rsidRPr="00A313BD">
              <w:rPr>
                <w:bCs/>
              </w:rPr>
              <w:lastRenderedPageBreak/>
              <w:t>13</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Cs/>
              </w:rPr>
              <w:t>radical nationalism</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Managing German nationalism and its opponents;</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Weaknesses of the Frankfurt Parliament:</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Lack of popular support</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Divisions with the parliament</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Ineffective leader</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Events of Schleswig-Holstein</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Challenges from radical elements</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Decree of rights</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Prussian reaction to 1848-9 and the Frankfurt parliament</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Failure of the parliament</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13</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1848/1849 revolutions and the Frankfurt Parliament;</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contribution of political groups (liberals, conservatives, socialists and communists);</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1848/1849 Revolutions</w:t>
            </w:r>
          </w:p>
        </w:tc>
        <w:tc>
          <w:tcPr>
            <w:tcW w:w="8775" w:type="dxa"/>
          </w:tcPr>
          <w:p w:rsidR="006E3D00" w:rsidRPr="00A313BD" w:rsidRDefault="006E3D00" w:rsidP="0084309B">
            <w:pPr>
              <w:pStyle w:val="Default"/>
              <w:numPr>
                <w:ilvl w:val="0"/>
                <w:numId w:val="48"/>
              </w:numPr>
              <w:ind w:left="334"/>
              <w:rPr>
                <w:color w:val="auto"/>
                <w:sz w:val="22"/>
                <w:szCs w:val="22"/>
                <w:highlight w:val="yellow"/>
              </w:rPr>
            </w:pPr>
            <w:r w:rsidRPr="00A313BD">
              <w:rPr>
                <w:color w:val="auto"/>
                <w:sz w:val="22"/>
                <w:szCs w:val="22"/>
                <w:highlight w:val="yellow"/>
              </w:rPr>
              <w:t>Factors leading to the failure of the revolutions:</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Importance of military</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Role and restoration of Austria</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Situation in Prussia</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Lack of popular support</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Divisions within leadership</w:t>
            </w:r>
          </w:p>
          <w:p w:rsidR="006E3D00" w:rsidRPr="00A313BD" w:rsidRDefault="006E3D00" w:rsidP="0084309B">
            <w:pPr>
              <w:pStyle w:val="Default"/>
              <w:numPr>
                <w:ilvl w:val="1"/>
                <w:numId w:val="48"/>
              </w:numPr>
              <w:ind w:left="618"/>
              <w:rPr>
                <w:color w:val="auto"/>
                <w:sz w:val="22"/>
                <w:szCs w:val="22"/>
                <w:highlight w:val="yellow"/>
              </w:rPr>
            </w:pPr>
            <w:r w:rsidRPr="00A313BD">
              <w:rPr>
                <w:color w:val="auto"/>
                <w:sz w:val="22"/>
                <w:szCs w:val="22"/>
                <w:highlight w:val="yellow"/>
              </w:rPr>
              <w:t>Strength of the Conservatives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impact of external forces and circumstances on German nationalism including the decline of Austria;</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Position of Austria after the revolutions – strengths and weaknesses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external forces and circumstances on German nationalism including the decline of Austria;</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Prussia in the development of Germany;</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extent to which the new Germany was made and subsequently dominated by Prussia hence ‘extent’ to which it was genuinely united.</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Position of Prussia after the revolutions – strengths and weaknesses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830E3">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Political career of Bismarck</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 xml:space="preserve">assessment and comparison of the </w:t>
            </w:r>
            <w:r w:rsidRPr="00A313BD">
              <w:rPr>
                <w:color w:val="000000"/>
              </w:rPr>
              <w:lastRenderedPageBreak/>
              <w:t>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extent to which the new Germany was made and subsequently dominated by Prussia hence ‘extent’ to which it was genuinely united.</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4309B">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lastRenderedPageBreak/>
              <w:t>Bismarck’s aims for Prussia</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lastRenderedPageBreak/>
              <w:t>15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external forces and circumstances on German nationalism including the decline of Austria;</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wars as a unifying or divisive influence;</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830E3">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 xml:space="preserve">Growing Prussian/Austrian tension </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wars as a unifying or divisive influence;</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FD2E6A">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The Polish Revolt</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warfare in uniting Germany;</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wars as a unifying or divisive influence;</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FD2E6A">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The problem of Schleswig and Holstein and the consequences of the Danish War</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FD2E6A">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Causes of War with Austria and outcomes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16</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warfare in uniting Germany;</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wars as a unifying or divisive influence;</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FD2E6A">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Results of the War and creation of North German Confederation</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16</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FD2E6A">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Popular support for Bismarck and the establishment of the Reichstag</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16</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effect of economic change on nationalism and national unity.</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830E3">
            <w:pPr>
              <w:pStyle w:val="ListParagraph"/>
              <w:numPr>
                <w:ilvl w:val="0"/>
                <w:numId w:val="48"/>
              </w:numPr>
              <w:ind w:left="330"/>
              <w:rPr>
                <w:color w:val="FFFFFF" w:themeColor="background1"/>
                <w:highlight w:val="darkCyan"/>
              </w:rPr>
            </w:pPr>
            <w:r w:rsidRPr="00A313BD">
              <w:rPr>
                <w:color w:val="FFFFFF" w:themeColor="background1"/>
                <w:highlight w:val="darkCyan"/>
              </w:rPr>
              <w:t>Factors enabling Bismarck’s success, including the role of the army, the power of the economy and economic unity, the weakness of Austria and support of the nationalists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17</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830E3">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Relations between Bismarck and France</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17</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282886">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French fears of German unity</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lastRenderedPageBreak/>
              <w:t>17</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282886">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The Luxemburg crisis and its consequences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18</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warfare in uniting Germany;</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282886">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The causes of the war with France,  Bismarck’s political manoeuvring, including the Hohenzollern candidature and the Ems telegram</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b/>
                <w:bCs/>
              </w:rPr>
            </w:pPr>
            <w:r w:rsidRPr="00A313BD">
              <w:rPr>
                <w:b/>
                <w:bCs/>
              </w:rPr>
              <w:t>18</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282886">
            <w:pPr>
              <w:pStyle w:val="Default"/>
              <w:numPr>
                <w:ilvl w:val="0"/>
                <w:numId w:val="48"/>
              </w:numPr>
              <w:ind w:left="334"/>
              <w:rPr>
                <w:color w:val="FFFFFF" w:themeColor="background1"/>
                <w:sz w:val="22"/>
                <w:szCs w:val="22"/>
                <w:highlight w:val="darkCyan"/>
              </w:rPr>
            </w:pPr>
            <w:r w:rsidRPr="00A313BD">
              <w:rPr>
                <w:color w:val="FFFFFF" w:themeColor="background1"/>
                <w:sz w:val="22"/>
                <w:szCs w:val="22"/>
                <w:highlight w:val="darkCyan"/>
              </w:rPr>
              <w:t>Reasons for German victory</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18</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wars as a unifying or divisive influence;</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Nationalism and Unification 1867–1871</w:t>
            </w:r>
          </w:p>
        </w:tc>
        <w:tc>
          <w:tcPr>
            <w:tcW w:w="8775" w:type="dxa"/>
          </w:tcPr>
          <w:p w:rsidR="006E3D00" w:rsidRPr="00A313BD" w:rsidRDefault="006E3D00" w:rsidP="008830E3">
            <w:pPr>
              <w:pStyle w:val="ListParagraph"/>
              <w:numPr>
                <w:ilvl w:val="0"/>
                <w:numId w:val="48"/>
              </w:numPr>
              <w:ind w:left="330"/>
              <w:rPr>
                <w:color w:val="FFFFFF" w:themeColor="background1"/>
                <w:highlight w:val="darkCyan"/>
              </w:rPr>
            </w:pPr>
            <w:r w:rsidRPr="00A313BD">
              <w:rPr>
                <w:color w:val="FFFFFF" w:themeColor="background1"/>
                <w:highlight w:val="darkCyan"/>
              </w:rPr>
              <w:t>Consequences of the war and Germany unity, including the Treaty of Frankfurt.</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19</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Prussia in the development of Germany;</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constitutional developments;</w:t>
            </w:r>
          </w:p>
        </w:tc>
        <w:tc>
          <w:tcPr>
            <w:tcW w:w="8775" w:type="dxa"/>
          </w:tcPr>
          <w:p w:rsidR="006E3D00" w:rsidRPr="00A313BD" w:rsidRDefault="006E3D00" w:rsidP="007F6DDC">
            <w:pPr>
              <w:pStyle w:val="Default"/>
              <w:numPr>
                <w:ilvl w:val="0"/>
                <w:numId w:val="48"/>
              </w:numPr>
              <w:ind w:left="334"/>
              <w:rPr>
                <w:color w:val="auto"/>
                <w:sz w:val="22"/>
                <w:szCs w:val="22"/>
              </w:rPr>
            </w:pPr>
            <w:r w:rsidRPr="00A313BD">
              <w:rPr>
                <w:color w:val="auto"/>
                <w:sz w:val="22"/>
                <w:szCs w:val="22"/>
              </w:rPr>
              <w:t>The new German constitution and Prussian dominance in the new Germany</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19</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assessment and comparison of the contributions of Napoleon, Metternich, Bismarck and Wilhelm II;</w:t>
            </w:r>
          </w:p>
        </w:tc>
        <w:tc>
          <w:tcPr>
            <w:tcW w:w="8775" w:type="dxa"/>
          </w:tcPr>
          <w:p w:rsidR="006E3D00" w:rsidRPr="00A313BD" w:rsidRDefault="006E3D00" w:rsidP="00BD273C">
            <w:pPr>
              <w:pStyle w:val="Default"/>
              <w:numPr>
                <w:ilvl w:val="0"/>
                <w:numId w:val="48"/>
              </w:numPr>
              <w:ind w:left="334"/>
              <w:rPr>
                <w:sz w:val="22"/>
                <w:szCs w:val="22"/>
              </w:rPr>
            </w:pPr>
            <w:r w:rsidRPr="00A313BD">
              <w:rPr>
                <w:color w:val="auto"/>
                <w:sz w:val="22"/>
                <w:szCs w:val="22"/>
              </w:rPr>
              <w:t>Role of Bismarck as imperial chancellor</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19</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extent to which the new Germany was made and subsequently dominated by Prussia hence ‘extent’ to which it was genuinely united.</w:t>
            </w:r>
          </w:p>
        </w:tc>
        <w:tc>
          <w:tcPr>
            <w:tcW w:w="8775" w:type="dxa"/>
          </w:tcPr>
          <w:p w:rsidR="006E3D00" w:rsidRPr="00A313BD" w:rsidRDefault="006E3D00" w:rsidP="00BD273C">
            <w:pPr>
              <w:pStyle w:val="Default"/>
              <w:numPr>
                <w:ilvl w:val="0"/>
                <w:numId w:val="48"/>
              </w:numPr>
              <w:ind w:left="334"/>
              <w:rPr>
                <w:sz w:val="22"/>
                <w:szCs w:val="22"/>
              </w:rPr>
            </w:pPr>
            <w:r w:rsidRPr="00A313BD">
              <w:rPr>
                <w:color w:val="auto"/>
                <w:sz w:val="22"/>
                <w:szCs w:val="22"/>
              </w:rPr>
              <w:t>The strengths and weaknesses of the Reichstag</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19</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role of warfare in uniting Germany;</w:t>
            </w:r>
          </w:p>
        </w:tc>
        <w:tc>
          <w:tcPr>
            <w:tcW w:w="8775" w:type="dxa"/>
          </w:tcPr>
          <w:p w:rsidR="006E3D00" w:rsidRPr="00A313BD" w:rsidRDefault="006E3D00" w:rsidP="00BD273C">
            <w:pPr>
              <w:pStyle w:val="Default"/>
              <w:numPr>
                <w:ilvl w:val="0"/>
                <w:numId w:val="48"/>
              </w:numPr>
              <w:ind w:left="334"/>
              <w:rPr>
                <w:sz w:val="22"/>
                <w:szCs w:val="22"/>
              </w:rPr>
            </w:pPr>
            <w:r w:rsidRPr="00A313BD">
              <w:rPr>
                <w:color w:val="auto"/>
                <w:sz w:val="22"/>
                <w:szCs w:val="22"/>
              </w:rPr>
              <w:t>The role played by the Army</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20</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extent to which Germany and the German people became a united nation in the course of the period;</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extent to which the new Germany was made and subsequently dominated by Prussia hence ‘extent’ to which it was genuinely united.</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continuing cultural, religious and regional differences;</w:t>
            </w:r>
          </w:p>
        </w:tc>
        <w:tc>
          <w:tcPr>
            <w:tcW w:w="8775" w:type="dxa"/>
          </w:tcPr>
          <w:p w:rsidR="006E3D00" w:rsidRPr="00A313BD" w:rsidRDefault="006E3D00" w:rsidP="001E6189">
            <w:pPr>
              <w:pStyle w:val="ListParagraph"/>
              <w:numPr>
                <w:ilvl w:val="0"/>
                <w:numId w:val="48"/>
              </w:numPr>
              <w:ind w:left="330"/>
            </w:pPr>
            <w:r w:rsidRPr="00A313BD">
              <w:t>Extent of Germany unity by 1871</w:t>
            </w:r>
          </w:p>
          <w:p w:rsidR="006E3D00" w:rsidRPr="00A313BD" w:rsidRDefault="006E3D00" w:rsidP="001E6189">
            <w:pPr>
              <w:pStyle w:val="ListParagraph"/>
              <w:numPr>
                <w:ilvl w:val="0"/>
                <w:numId w:val="48"/>
              </w:numPr>
              <w:ind w:left="330"/>
            </w:pPr>
            <w:r w:rsidRPr="00A313BD">
              <w:rPr>
                <w:color w:val="000000"/>
              </w:rPr>
              <w:t>continuing cultural, religious and regional differences;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t>20</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 xml:space="preserve">the </w:t>
            </w:r>
            <w:proofErr w:type="spellStart"/>
            <w:r w:rsidRPr="00A313BD">
              <w:rPr>
                <w:color w:val="000000"/>
              </w:rPr>
              <w:t>Kulturkampf</w:t>
            </w:r>
            <w:proofErr w:type="spellEnd"/>
            <w:r w:rsidRPr="00A313BD">
              <w:rPr>
                <w:color w:val="000000"/>
              </w:rPr>
              <w: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 xml:space="preserve">assessment and comparison of the </w:t>
            </w:r>
            <w:r w:rsidRPr="00A313BD">
              <w:rPr>
                <w:color w:val="000000"/>
              </w:rPr>
              <w:lastRenderedPageBreak/>
              <w:t>contributions of Napoleon, Metternich, Bismarck and Wilhelm II;</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lastRenderedPageBreak/>
              <w:t xml:space="preserve">Bismarck relation with the church and The </w:t>
            </w:r>
            <w:proofErr w:type="spellStart"/>
            <w:r w:rsidRPr="00A313BD">
              <w:rPr>
                <w:color w:val="auto"/>
                <w:sz w:val="22"/>
                <w:szCs w:val="22"/>
              </w:rPr>
              <w:t>Kulturkampf</w:t>
            </w:r>
            <w:proofErr w:type="spellEnd"/>
            <w:r w:rsidRPr="00A313BD">
              <w:rPr>
                <w:color w:val="auto"/>
                <w:sz w:val="22"/>
                <w:szCs w:val="22"/>
              </w:rPr>
              <w:t xml:space="preserve"> and its results</w:t>
            </w:r>
          </w:p>
        </w:tc>
      </w:tr>
      <w:tr w:rsidR="006E3D00" w:rsidRPr="00A313BD" w:rsidTr="006E3D00">
        <w:tc>
          <w:tcPr>
            <w:tcW w:w="1951" w:type="dxa"/>
          </w:tcPr>
          <w:p w:rsidR="006E3D00" w:rsidRPr="00A313BD" w:rsidRDefault="00BD6EFD" w:rsidP="00103C3A">
            <w:pPr>
              <w:autoSpaceDE w:val="0"/>
              <w:autoSpaceDN w:val="0"/>
              <w:adjustRightInd w:val="0"/>
              <w:spacing w:before="0" w:after="80"/>
              <w:ind w:left="28"/>
              <w:rPr>
                <w:color w:val="000000"/>
              </w:rPr>
            </w:pPr>
            <w:r w:rsidRPr="00A313BD">
              <w:rPr>
                <w:color w:val="000000"/>
              </w:rPr>
              <w:lastRenderedPageBreak/>
              <w:t>20</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arguments for free trade and protection;</w:t>
            </w:r>
          </w:p>
          <w:p w:rsidR="006E3D00" w:rsidRPr="00A313BD" w:rsidRDefault="006E3D00" w:rsidP="007F6DDC">
            <w:pPr>
              <w:autoSpaceDE w:val="0"/>
              <w:autoSpaceDN w:val="0"/>
              <w:adjustRightInd w:val="0"/>
              <w:spacing w:before="0" w:after="80"/>
              <w:ind w:left="388"/>
              <w:rPr>
                <w:bCs/>
              </w:rPr>
            </w:pP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Economic developments post 1871, including protectionism and the Tariff Act and its effect on national unity.</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FFFFFF" w:themeColor="background1"/>
                <w:sz w:val="22"/>
                <w:szCs w:val="22"/>
                <w:highlight w:val="darkYellow"/>
              </w:rPr>
              <w:t>Character and ideas of Wilhelm II</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bCs/>
              </w:rPr>
            </w:pPr>
            <w:r w:rsidRPr="00A313BD">
              <w:rPr>
                <w:bCs/>
              </w:rPr>
              <w:t>21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Cs/>
              </w:rPr>
              <w:t>radical nationalism</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contribution of political groups (liberals, conservatives, socialists and communists);</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 xml:space="preserve">Tensions with the left and right and </w:t>
            </w:r>
            <w:proofErr w:type="spellStart"/>
            <w:r w:rsidRPr="00A313BD">
              <w:rPr>
                <w:color w:val="auto"/>
                <w:sz w:val="22"/>
                <w:szCs w:val="22"/>
              </w:rPr>
              <w:t>Bismarcks</w:t>
            </w:r>
            <w:proofErr w:type="spellEnd"/>
            <w:r w:rsidRPr="00A313BD">
              <w:rPr>
                <w:color w:val="auto"/>
                <w:sz w:val="22"/>
                <w:szCs w:val="22"/>
              </w:rPr>
              <w:t xml:space="preserve"> actions, in particular towards socialism and the development of state socialism.</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21</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4309B">
            <w:pPr>
              <w:pStyle w:val="Default"/>
              <w:numPr>
                <w:ilvl w:val="0"/>
                <w:numId w:val="48"/>
              </w:numPr>
              <w:ind w:left="334"/>
              <w:rPr>
                <w:color w:val="FFFFFF" w:themeColor="background1"/>
                <w:sz w:val="22"/>
                <w:szCs w:val="22"/>
                <w:highlight w:val="darkYellow"/>
              </w:rPr>
            </w:pPr>
            <w:r w:rsidRPr="00A313BD">
              <w:rPr>
                <w:color w:val="FFFFFF" w:themeColor="background1"/>
                <w:sz w:val="22"/>
                <w:szCs w:val="22"/>
                <w:highlight w:val="darkYellow"/>
              </w:rPr>
              <w:t>Bismarck’s main aims and actions in foreign policy</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French isolation</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peace with Austria and Russia</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Balkan crisis</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Three emperors league</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Congress of Berlin</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Dual Alliance</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Three emperors alliance</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Triple alliance</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Overseas expansion</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Bulgarian crisis</w:t>
            </w:r>
          </w:p>
          <w:p w:rsidR="006E3D00" w:rsidRPr="00A313BD" w:rsidRDefault="006E3D00" w:rsidP="0084309B">
            <w:pPr>
              <w:pStyle w:val="Default"/>
              <w:numPr>
                <w:ilvl w:val="1"/>
                <w:numId w:val="48"/>
              </w:numPr>
              <w:ind w:left="901"/>
              <w:rPr>
                <w:color w:val="FFFFFF" w:themeColor="background1"/>
                <w:sz w:val="22"/>
                <w:szCs w:val="22"/>
              </w:rPr>
            </w:pPr>
            <w:r w:rsidRPr="00A313BD">
              <w:rPr>
                <w:color w:val="FFFFFF" w:themeColor="background1"/>
                <w:sz w:val="22"/>
                <w:szCs w:val="22"/>
                <w:highlight w:val="darkYellow"/>
              </w:rPr>
              <w:t>Reinsurance treaty</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effect of economic change on nationalism and national unity.</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assessment and comparison of the contributions of Napoleon, Metternich, Bismarck and Wilhelm II;</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constitutional developments;</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4309B">
            <w:pPr>
              <w:pStyle w:val="Default"/>
              <w:numPr>
                <w:ilvl w:val="0"/>
                <w:numId w:val="48"/>
              </w:numPr>
              <w:ind w:left="334"/>
              <w:rPr>
                <w:color w:val="FFFFFF" w:themeColor="background1"/>
                <w:sz w:val="22"/>
                <w:szCs w:val="22"/>
                <w:highlight w:val="darkYellow"/>
              </w:rPr>
            </w:pPr>
            <w:r w:rsidRPr="00A313BD">
              <w:rPr>
                <w:color w:val="FFFFFF" w:themeColor="background1"/>
                <w:sz w:val="22"/>
                <w:szCs w:val="22"/>
                <w:highlight w:val="darkYellow"/>
              </w:rPr>
              <w:t>Reasons for Bismarck’s fall from power</w:t>
            </w:r>
          </w:p>
          <w:p w:rsidR="006E3D00" w:rsidRPr="00A313BD" w:rsidRDefault="006E3D00" w:rsidP="0084309B">
            <w:pPr>
              <w:pStyle w:val="Default"/>
              <w:numPr>
                <w:ilvl w:val="0"/>
                <w:numId w:val="48"/>
              </w:numPr>
              <w:ind w:left="334"/>
              <w:rPr>
                <w:color w:val="FFFFFF" w:themeColor="background1"/>
                <w:sz w:val="22"/>
                <w:szCs w:val="22"/>
                <w:highlight w:val="darkYellow"/>
              </w:rPr>
            </w:pPr>
            <w:r w:rsidRPr="00A313BD">
              <w:rPr>
                <w:color w:val="FFFFFF" w:themeColor="background1"/>
                <w:sz w:val="22"/>
                <w:szCs w:val="22"/>
                <w:highlight w:val="darkYellow"/>
              </w:rPr>
              <w:t>Changes made following Bismarck’s fall:</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Changes in the political system</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Economic and social developments</w:t>
            </w:r>
          </w:p>
          <w:p w:rsidR="006E3D00" w:rsidRPr="00A313BD" w:rsidRDefault="006E3D00" w:rsidP="0084309B">
            <w:pPr>
              <w:pStyle w:val="Default"/>
              <w:numPr>
                <w:ilvl w:val="1"/>
                <w:numId w:val="48"/>
              </w:numPr>
              <w:ind w:left="901"/>
              <w:rPr>
                <w:color w:val="FFFFFF" w:themeColor="background1"/>
                <w:sz w:val="22"/>
                <w:szCs w:val="22"/>
                <w:highlight w:val="darkYellow"/>
              </w:rPr>
            </w:pPr>
            <w:r w:rsidRPr="00A313BD">
              <w:rPr>
                <w:color w:val="FFFFFF" w:themeColor="background1"/>
                <w:sz w:val="22"/>
                <w:szCs w:val="22"/>
                <w:highlight w:val="darkYellow"/>
              </w:rPr>
              <w:t>Changes in beliefs and thoughts</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lastRenderedPageBreak/>
              <w:t>22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treatment of Germany’s minorities;</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extent to which the new Germany was made and subsequently dominated by Prussia hence ‘extent’ t</w:t>
            </w:r>
            <w:r w:rsidR="00103C3A" w:rsidRPr="00A313BD">
              <w:rPr>
                <w:color w:val="000000"/>
              </w:rPr>
              <w:t>o which it was genuinely united;</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830E3">
            <w:pPr>
              <w:pStyle w:val="Default"/>
              <w:numPr>
                <w:ilvl w:val="0"/>
                <w:numId w:val="48"/>
              </w:numPr>
              <w:ind w:left="334"/>
              <w:rPr>
                <w:color w:val="FFFFFF" w:themeColor="background1"/>
                <w:sz w:val="22"/>
                <w:szCs w:val="22"/>
                <w:highlight w:val="darkYellow"/>
              </w:rPr>
            </w:pPr>
            <w:r w:rsidRPr="00A313BD">
              <w:rPr>
                <w:color w:val="FFFFFF" w:themeColor="background1"/>
                <w:sz w:val="22"/>
                <w:szCs w:val="22"/>
                <w:highlight w:val="darkYellow"/>
              </w:rPr>
              <w:t xml:space="preserve">Domestic issues – including the role of the army and treatment of minorities </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22</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role of Prussia in the development of Germany;</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extent to which the new Germany was made and subsequently dominated by Prussia hence ‘extent’ to which it was genuinely united.</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Continuing dominance of Prussia</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23</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mass nationalism and its appeal in the 19th and early 20th centuries;</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radical nationalism</w:t>
            </w:r>
            <w:r w:rsidR="00103C3A" w:rsidRPr="00A313BD">
              <w:rPr>
                <w:color w:val="000000"/>
              </w:rPr>
              <w:t>;</w:t>
            </w:r>
          </w:p>
          <w:p w:rsidR="006E3D00" w:rsidRPr="00A313BD" w:rsidRDefault="00103C3A" w:rsidP="007F6DDC">
            <w:pPr>
              <w:pStyle w:val="ListParagraph"/>
              <w:numPr>
                <w:ilvl w:val="0"/>
                <w:numId w:val="49"/>
              </w:numPr>
              <w:autoSpaceDE w:val="0"/>
              <w:autoSpaceDN w:val="0"/>
              <w:adjustRightInd w:val="0"/>
              <w:spacing w:before="0" w:after="80"/>
              <w:ind w:left="388"/>
              <w:rPr>
                <w:bCs/>
              </w:rPr>
            </w:pPr>
            <w:r w:rsidRPr="00A313BD">
              <w:rPr>
                <w:color w:val="000000"/>
              </w:rPr>
              <w:t>Pan-</w:t>
            </w:r>
            <w:proofErr w:type="spellStart"/>
            <w:r w:rsidRPr="00A313BD">
              <w:rPr>
                <w:color w:val="000000"/>
              </w:rPr>
              <w:t>Germanism</w:t>
            </w:r>
            <w:proofErr w:type="spellEnd"/>
            <w:r w:rsidRPr="00A313BD">
              <w:rPr>
                <w:color w:val="000000"/>
              </w:rPr>
              <w:t>.</w:t>
            </w:r>
          </w:p>
        </w:tc>
        <w:tc>
          <w:tcPr>
            <w:tcW w:w="8775" w:type="dxa"/>
          </w:tcPr>
          <w:p w:rsidR="006E3D00" w:rsidRPr="00A313BD" w:rsidRDefault="006E3D00" w:rsidP="0084309B">
            <w:pPr>
              <w:pStyle w:val="Default"/>
              <w:numPr>
                <w:ilvl w:val="0"/>
                <w:numId w:val="48"/>
              </w:numPr>
              <w:ind w:left="334"/>
              <w:rPr>
                <w:color w:val="auto"/>
                <w:sz w:val="22"/>
                <w:szCs w:val="22"/>
              </w:rPr>
            </w:pPr>
            <w:r w:rsidRPr="00A313BD">
              <w:rPr>
                <w:color w:val="auto"/>
                <w:sz w:val="22"/>
                <w:szCs w:val="22"/>
              </w:rPr>
              <w:t>Growth of nationalist associations, including Pan-German League.</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b/>
                <w:bCs/>
              </w:rPr>
            </w:pPr>
            <w:r w:rsidRPr="00A313BD">
              <w:rPr>
                <w:b/>
                <w:bCs/>
              </w:rPr>
              <w:t>23</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830E3">
            <w:pPr>
              <w:pStyle w:val="Default"/>
              <w:numPr>
                <w:ilvl w:val="0"/>
                <w:numId w:val="48"/>
              </w:numPr>
              <w:ind w:left="334"/>
              <w:rPr>
                <w:color w:val="FFFFFF" w:themeColor="background1"/>
                <w:sz w:val="22"/>
                <w:szCs w:val="22"/>
              </w:rPr>
            </w:pPr>
            <w:r w:rsidRPr="00A313BD">
              <w:rPr>
                <w:color w:val="FFFFFF" w:themeColor="background1"/>
                <w:sz w:val="22"/>
                <w:szCs w:val="22"/>
                <w:highlight w:val="darkYellow"/>
              </w:rPr>
              <w:t>Development in Foreign policy – 1890-1914 and the causes of World War One including responsibility of the Kaiser and his government for the First World War</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23</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effect of economic change on nationalism and national unity.</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b/>
                <w:bCs/>
              </w:rPr>
              <w:t>Wilhelmine Germany and the growth of Nationalism 1884–1914</w:t>
            </w:r>
          </w:p>
        </w:tc>
        <w:tc>
          <w:tcPr>
            <w:tcW w:w="8775" w:type="dxa"/>
          </w:tcPr>
          <w:p w:rsidR="006E3D00" w:rsidRPr="00A313BD" w:rsidRDefault="006E3D00" w:rsidP="0084309B">
            <w:pPr>
              <w:pStyle w:val="Default"/>
              <w:numPr>
                <w:ilvl w:val="0"/>
                <w:numId w:val="48"/>
              </w:numPr>
              <w:ind w:left="334"/>
              <w:rPr>
                <w:color w:val="FFFFFF" w:themeColor="background1"/>
                <w:sz w:val="22"/>
                <w:szCs w:val="22"/>
              </w:rPr>
            </w:pPr>
            <w:r w:rsidRPr="00A313BD">
              <w:rPr>
                <w:color w:val="FFFFFF" w:themeColor="background1"/>
                <w:sz w:val="22"/>
                <w:szCs w:val="22"/>
                <w:highlight w:val="darkYellow"/>
              </w:rPr>
              <w:t>Economic modernisation and gearing towards war economy</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wars as a unifying or divisive influence;</w:t>
            </w:r>
          </w:p>
        </w:tc>
        <w:tc>
          <w:tcPr>
            <w:tcW w:w="8775" w:type="dxa"/>
          </w:tcPr>
          <w:p w:rsidR="006E3D00" w:rsidRPr="00A313BD" w:rsidRDefault="006E3D00" w:rsidP="008830E3">
            <w:pPr>
              <w:pStyle w:val="Default"/>
              <w:numPr>
                <w:ilvl w:val="0"/>
                <w:numId w:val="48"/>
              </w:numPr>
              <w:ind w:left="334"/>
              <w:rPr>
                <w:color w:val="auto"/>
                <w:sz w:val="22"/>
                <w:szCs w:val="22"/>
              </w:rPr>
            </w:pPr>
            <w:r w:rsidRPr="00A313BD">
              <w:rPr>
                <w:color w:val="auto"/>
                <w:sz w:val="22"/>
                <w:szCs w:val="22"/>
              </w:rPr>
              <w:t>Germany at War – brief overview</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wars as a unifying or divisive influence;</w:t>
            </w:r>
          </w:p>
        </w:tc>
        <w:tc>
          <w:tcPr>
            <w:tcW w:w="8775" w:type="dxa"/>
          </w:tcPr>
          <w:p w:rsidR="006E3D00" w:rsidRPr="00A313BD" w:rsidRDefault="006E3D00" w:rsidP="00797105">
            <w:pPr>
              <w:pStyle w:val="Default"/>
              <w:numPr>
                <w:ilvl w:val="0"/>
                <w:numId w:val="48"/>
              </w:numPr>
              <w:ind w:left="334"/>
              <w:rPr>
                <w:sz w:val="22"/>
                <w:szCs w:val="22"/>
              </w:rPr>
            </w:pPr>
            <w:r w:rsidRPr="00A313BD">
              <w:rPr>
                <w:color w:val="auto"/>
                <w:sz w:val="22"/>
                <w:szCs w:val="22"/>
              </w:rPr>
              <w:t>Domestic impact of war</w:t>
            </w:r>
          </w:p>
        </w:tc>
      </w:tr>
      <w:tr w:rsidR="006E3D00" w:rsidRPr="00A313BD" w:rsidTr="006E3D00">
        <w:tc>
          <w:tcPr>
            <w:tcW w:w="1951" w:type="dxa"/>
          </w:tcPr>
          <w:p w:rsidR="006E3D00" w:rsidRPr="00A313BD" w:rsidRDefault="00FB7056" w:rsidP="00103C3A">
            <w:pPr>
              <w:autoSpaceDE w:val="0"/>
              <w:autoSpaceDN w:val="0"/>
              <w:adjustRightInd w:val="0"/>
              <w:spacing w:before="0" w:after="80"/>
              <w:ind w:left="28"/>
              <w:rPr>
                <w:color w:val="000000"/>
              </w:rPr>
            </w:pPr>
            <w:r w:rsidRPr="00A313BD">
              <w:rPr>
                <w:color w:val="000000"/>
              </w:rPr>
              <w:lastRenderedPageBreak/>
              <w:t>24</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wars as a unifying or divisive influence;</w:t>
            </w:r>
          </w:p>
        </w:tc>
        <w:tc>
          <w:tcPr>
            <w:tcW w:w="8775" w:type="dxa"/>
          </w:tcPr>
          <w:p w:rsidR="006E3D00" w:rsidRPr="00A313BD" w:rsidRDefault="006E3D00" w:rsidP="00797105">
            <w:pPr>
              <w:pStyle w:val="Default"/>
              <w:numPr>
                <w:ilvl w:val="0"/>
                <w:numId w:val="48"/>
              </w:numPr>
              <w:ind w:left="334"/>
              <w:rPr>
                <w:sz w:val="22"/>
                <w:szCs w:val="22"/>
              </w:rPr>
            </w:pPr>
            <w:r w:rsidRPr="00A313BD">
              <w:rPr>
                <w:color w:val="auto"/>
                <w:sz w:val="22"/>
                <w:szCs w:val="22"/>
              </w:rPr>
              <w:t>Reasons for defeat</w:t>
            </w:r>
          </w:p>
        </w:tc>
      </w:tr>
      <w:tr w:rsidR="006E3D00" w:rsidRPr="00A313BD" w:rsidTr="006E3D00">
        <w:tc>
          <w:tcPr>
            <w:tcW w:w="1951" w:type="dxa"/>
          </w:tcPr>
          <w:p w:rsidR="006E3D00" w:rsidRPr="00A313BD" w:rsidRDefault="00D23291" w:rsidP="00103C3A">
            <w:pPr>
              <w:autoSpaceDE w:val="0"/>
              <w:autoSpaceDN w:val="0"/>
              <w:adjustRightInd w:val="0"/>
              <w:spacing w:before="0" w:after="80"/>
              <w:ind w:left="28"/>
              <w:rPr>
                <w:color w:val="000000"/>
              </w:rPr>
            </w:pPr>
            <w:r w:rsidRPr="00A313BD">
              <w:rPr>
                <w:color w:val="000000"/>
              </w:rPr>
              <w:t>25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wars as a unifying or divisive influence;</w:t>
            </w:r>
          </w:p>
        </w:tc>
        <w:tc>
          <w:tcPr>
            <w:tcW w:w="8775" w:type="dxa"/>
          </w:tcPr>
          <w:p w:rsidR="006E3D00" w:rsidRPr="00A313BD" w:rsidRDefault="006E3D00" w:rsidP="00797105">
            <w:pPr>
              <w:pStyle w:val="Default"/>
              <w:numPr>
                <w:ilvl w:val="0"/>
                <w:numId w:val="48"/>
              </w:numPr>
              <w:ind w:left="334"/>
              <w:rPr>
                <w:sz w:val="22"/>
                <w:szCs w:val="22"/>
              </w:rPr>
            </w:pPr>
            <w:r w:rsidRPr="00A313BD">
              <w:rPr>
                <w:color w:val="auto"/>
                <w:sz w:val="22"/>
                <w:szCs w:val="22"/>
              </w:rPr>
              <w:t>The German revolution and subsequent reforms</w:t>
            </w:r>
          </w:p>
        </w:tc>
      </w:tr>
      <w:tr w:rsidR="006E3D00" w:rsidRPr="00A313BD" w:rsidTr="006E3D00">
        <w:tc>
          <w:tcPr>
            <w:tcW w:w="1951" w:type="dxa"/>
          </w:tcPr>
          <w:p w:rsidR="006E3D00" w:rsidRPr="00A313BD" w:rsidRDefault="00FB7056" w:rsidP="00103C3A">
            <w:pPr>
              <w:autoSpaceDE w:val="0"/>
              <w:autoSpaceDN w:val="0"/>
              <w:adjustRightInd w:val="0"/>
              <w:spacing w:before="0" w:after="80"/>
              <w:ind w:left="28"/>
              <w:rPr>
                <w:color w:val="000000"/>
              </w:rPr>
            </w:pPr>
            <w:r w:rsidRPr="00A313BD">
              <w:rPr>
                <w:color w:val="000000"/>
              </w:rPr>
              <w:t>25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the Treaty of Versailles;</w:t>
            </w:r>
          </w:p>
        </w:tc>
        <w:tc>
          <w:tcPr>
            <w:tcW w:w="8775" w:type="dxa"/>
          </w:tcPr>
          <w:p w:rsidR="006E3D00" w:rsidRPr="00A313BD" w:rsidRDefault="006E3D00" w:rsidP="00797105">
            <w:pPr>
              <w:pStyle w:val="Default"/>
              <w:numPr>
                <w:ilvl w:val="0"/>
                <w:numId w:val="48"/>
              </w:numPr>
              <w:ind w:left="334"/>
              <w:rPr>
                <w:sz w:val="22"/>
                <w:szCs w:val="22"/>
              </w:rPr>
            </w:pPr>
            <w:r w:rsidRPr="00A313BD">
              <w:rPr>
                <w:color w:val="auto"/>
                <w:sz w:val="22"/>
                <w:szCs w:val="22"/>
              </w:rPr>
              <w:t xml:space="preserve">Impact of Versailles on Germany </w:t>
            </w:r>
          </w:p>
        </w:tc>
      </w:tr>
      <w:tr w:rsidR="006E3D00" w:rsidRPr="00A313BD" w:rsidTr="006E3D00">
        <w:tc>
          <w:tcPr>
            <w:tcW w:w="1951" w:type="dxa"/>
          </w:tcPr>
          <w:p w:rsidR="006E3D00" w:rsidRPr="00A313BD" w:rsidRDefault="00FB7056" w:rsidP="00103C3A">
            <w:pPr>
              <w:autoSpaceDE w:val="0"/>
              <w:autoSpaceDN w:val="0"/>
              <w:adjustRightInd w:val="0"/>
              <w:spacing w:before="0" w:after="80"/>
              <w:ind w:left="28"/>
              <w:rPr>
                <w:color w:val="000000"/>
              </w:rPr>
            </w:pPr>
            <w:r w:rsidRPr="00A313BD">
              <w:rPr>
                <w:color w:val="000000"/>
              </w:rPr>
              <w:t>25</w:t>
            </w:r>
          </w:p>
        </w:tc>
        <w:tc>
          <w:tcPr>
            <w:tcW w:w="4888" w:type="dxa"/>
          </w:tcPr>
          <w:p w:rsidR="006E3D00" w:rsidRPr="00A313BD" w:rsidRDefault="006E3D00" w:rsidP="007F6DDC">
            <w:pPr>
              <w:pStyle w:val="ListParagraph"/>
              <w:numPr>
                <w:ilvl w:val="0"/>
                <w:numId w:val="49"/>
              </w:numPr>
              <w:autoSpaceDE w:val="0"/>
              <w:autoSpaceDN w:val="0"/>
              <w:adjustRightInd w:val="0"/>
              <w:spacing w:before="0" w:after="80"/>
              <w:ind w:left="388"/>
              <w:rPr>
                <w:color w:val="000000"/>
              </w:rPr>
            </w:pPr>
            <w:r w:rsidRPr="00A313BD">
              <w:rPr>
                <w:color w:val="000000"/>
              </w:rPr>
              <w:t>the impact of the First World War and defeat</w:t>
            </w:r>
          </w:p>
          <w:p w:rsidR="006E3D00" w:rsidRPr="00A313BD" w:rsidRDefault="006E3D00" w:rsidP="007F6DDC">
            <w:pPr>
              <w:pStyle w:val="ListParagraph"/>
              <w:numPr>
                <w:ilvl w:val="0"/>
                <w:numId w:val="49"/>
              </w:numPr>
              <w:autoSpaceDE w:val="0"/>
              <w:autoSpaceDN w:val="0"/>
              <w:adjustRightInd w:val="0"/>
              <w:spacing w:before="0" w:after="80"/>
              <w:ind w:left="388"/>
              <w:rPr>
                <w:bCs/>
              </w:rPr>
            </w:pPr>
            <w:r w:rsidRPr="00A313BD">
              <w:rPr>
                <w:color w:val="000000"/>
              </w:rPr>
              <w:t>political challenges from the left and right.</w:t>
            </w:r>
          </w:p>
        </w:tc>
        <w:tc>
          <w:tcPr>
            <w:tcW w:w="8775" w:type="dxa"/>
          </w:tcPr>
          <w:p w:rsidR="006E3D00" w:rsidRPr="00A313BD" w:rsidRDefault="006E3D00" w:rsidP="008830E3">
            <w:pPr>
              <w:pStyle w:val="ListParagraph"/>
              <w:numPr>
                <w:ilvl w:val="0"/>
                <w:numId w:val="48"/>
              </w:numPr>
              <w:ind w:left="330"/>
            </w:pPr>
            <w:r w:rsidRPr="00A313BD">
              <w:t>Uprisings from left and right</w:t>
            </w:r>
          </w:p>
        </w:tc>
      </w:tr>
    </w:tbl>
    <w:p w:rsidR="002134B4" w:rsidRPr="00A313BD" w:rsidRDefault="00D4756F">
      <w:pPr>
        <w:spacing w:before="0" w:after="200"/>
      </w:pPr>
      <w:r>
        <w:rPr>
          <w:noProof/>
          <w:lang w:eastAsia="en-GB"/>
        </w:rPr>
        <mc:AlternateContent>
          <mc:Choice Requires="wps">
            <w:drawing>
              <wp:anchor distT="0" distB="0" distL="114300" distR="114300" simplePos="0" relativeHeight="251659264" behindDoc="0" locked="0" layoutInCell="1" allowOverlap="1" wp14:anchorId="121D8F85" wp14:editId="1317A86D">
                <wp:simplePos x="0" y="0"/>
                <wp:positionH relativeFrom="column">
                  <wp:posOffset>554990</wp:posOffset>
                </wp:positionH>
                <wp:positionV relativeFrom="paragraph">
                  <wp:posOffset>1340647</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56F" w:rsidRPr="00685A49" w:rsidRDefault="00D4756F" w:rsidP="00D4756F">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4756F" w:rsidRPr="00301B34" w:rsidRDefault="00D4756F" w:rsidP="00D4756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D4756F" w:rsidRPr="00301B34" w:rsidRDefault="00D4756F" w:rsidP="00D4756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4756F" w:rsidRDefault="00D4756F" w:rsidP="00D4756F">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05.5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" stroked="f">
                <v:textbox>
                  <w:txbxContent>
                    <w:p w:rsidR="00D4756F" w:rsidRPr="00685A49" w:rsidRDefault="00D4756F" w:rsidP="00D4756F">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4756F" w:rsidRPr="00301B34" w:rsidRDefault="00D4756F" w:rsidP="00D4756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D4756F" w:rsidRPr="00301B34" w:rsidRDefault="00D4756F" w:rsidP="00D4756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4756F" w:rsidRDefault="00D4756F" w:rsidP="00D4756F">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C76EE87" wp14:editId="19A961E7">
                <wp:simplePos x="0" y="0"/>
                <wp:positionH relativeFrom="column">
                  <wp:posOffset>561975</wp:posOffset>
                </wp:positionH>
                <wp:positionV relativeFrom="paragraph">
                  <wp:posOffset>2349662</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4756F" w:rsidRPr="00301B34" w:rsidRDefault="00D4756F" w:rsidP="00D4756F">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4756F" w:rsidRPr="00301B34" w:rsidRDefault="00D4756F" w:rsidP="00D4756F">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4756F" w:rsidRPr="007E1433" w:rsidRDefault="00D4756F" w:rsidP="00D4756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18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" fillcolor="#d8d8d8" stroked="f">
                <v:textbox>
                  <w:txbxContent>
                    <w:p w:rsidR="00D4756F" w:rsidRPr="00301B34" w:rsidRDefault="00D4756F" w:rsidP="00D4756F">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4756F" w:rsidRPr="00301B34" w:rsidRDefault="00D4756F" w:rsidP="00D4756F">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4756F" w:rsidRPr="007E1433" w:rsidRDefault="00D4756F" w:rsidP="00D4756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A313BD" w:rsidSect="00A313BD">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DF" w:rsidRDefault="003E5ADF" w:rsidP="008E5637">
      <w:r>
        <w:separator/>
      </w:r>
    </w:p>
  </w:endnote>
  <w:endnote w:type="continuationSeparator" w:id="0">
    <w:p w:rsidR="003E5ADF" w:rsidRDefault="003E5ADF"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A313BD" w:rsidRDefault="00A313BD" w:rsidP="00A313BD">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52755">
      <w:rPr>
        <w:noProof/>
        <w:sz w:val="16"/>
        <w:szCs w:val="16"/>
      </w:rPr>
      <w:t>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DF" w:rsidRDefault="003E5ADF" w:rsidP="008E5637">
      <w:r>
        <w:separator/>
      </w:r>
    </w:p>
  </w:footnote>
  <w:footnote w:type="continuationSeparator" w:id="0">
    <w:p w:rsidR="003E5ADF" w:rsidRDefault="003E5ADF"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A313BD" w:rsidP="008E5637">
    <w:pPr>
      <w:pStyle w:val="Header"/>
    </w:pPr>
    <w:r>
      <w:rPr>
        <w:noProof/>
        <w:lang w:eastAsia="en-GB"/>
      </w:rPr>
      <w:drawing>
        <wp:anchor distT="0" distB="0" distL="114300" distR="114300" simplePos="0" relativeHeight="251659264" behindDoc="0" locked="0" layoutInCell="1" allowOverlap="1" wp14:anchorId="6DCC9FBD" wp14:editId="5E18F50B">
          <wp:simplePos x="0" y="0"/>
          <wp:positionH relativeFrom="column">
            <wp:posOffset>-489364</wp:posOffset>
          </wp:positionH>
          <wp:positionV relativeFrom="paragraph">
            <wp:posOffset>-456668</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3BD" w:rsidRDefault="00A313BD" w:rsidP="008E5637">
    <w:pPr>
      <w:pStyle w:val="Header"/>
    </w:pPr>
    <w:r>
      <w:rPr>
        <w:noProof/>
        <w:lang w:eastAsia="en-GB"/>
      </w:rPr>
      <w:drawing>
        <wp:anchor distT="0" distB="0" distL="114300" distR="114300" simplePos="0" relativeHeight="251661312" behindDoc="0" locked="0" layoutInCell="1" allowOverlap="1" wp14:anchorId="1E704D11" wp14:editId="55494C95">
          <wp:simplePos x="0" y="0"/>
          <wp:positionH relativeFrom="column">
            <wp:posOffset>-462074</wp:posOffset>
          </wp:positionH>
          <wp:positionV relativeFrom="paragraph">
            <wp:posOffset>-454453</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A6336E"/>
    <w:multiLevelType w:val="hybridMultilevel"/>
    <w:tmpl w:val="812C1D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147409"/>
    <w:multiLevelType w:val="hybridMultilevel"/>
    <w:tmpl w:val="9E26A3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53A7489"/>
    <w:multiLevelType w:val="hybridMultilevel"/>
    <w:tmpl w:val="135AB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C50550"/>
    <w:multiLevelType w:val="hybridMultilevel"/>
    <w:tmpl w:val="151C513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9">
    <w:nsid w:val="1A2B0ED9"/>
    <w:multiLevelType w:val="hybridMultilevel"/>
    <w:tmpl w:val="997252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2678B0"/>
    <w:multiLevelType w:val="hybridMultilevel"/>
    <w:tmpl w:val="84BA7D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06F0122"/>
    <w:multiLevelType w:val="hybridMultilevel"/>
    <w:tmpl w:val="3F96EC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F63D38"/>
    <w:multiLevelType w:val="hybridMultilevel"/>
    <w:tmpl w:val="F6104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D7F51"/>
    <w:multiLevelType w:val="hybridMultilevel"/>
    <w:tmpl w:val="2F7C02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C270C0E"/>
    <w:multiLevelType w:val="hybridMultilevel"/>
    <w:tmpl w:val="71BCD7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CD52C0"/>
    <w:multiLevelType w:val="hybridMultilevel"/>
    <w:tmpl w:val="BE9C15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1B52EF8"/>
    <w:multiLevelType w:val="hybridMultilevel"/>
    <w:tmpl w:val="3764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E82BCC"/>
    <w:multiLevelType w:val="hybridMultilevel"/>
    <w:tmpl w:val="EA3E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7B769F"/>
    <w:multiLevelType w:val="hybridMultilevel"/>
    <w:tmpl w:val="F5BA76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CC4E01"/>
    <w:multiLevelType w:val="hybridMultilevel"/>
    <w:tmpl w:val="9FECA7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8B69E2"/>
    <w:multiLevelType w:val="hybridMultilevel"/>
    <w:tmpl w:val="8066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0E20C1"/>
    <w:multiLevelType w:val="hybridMultilevel"/>
    <w:tmpl w:val="95BAA7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644A43"/>
    <w:multiLevelType w:val="hybridMultilevel"/>
    <w:tmpl w:val="6E90F6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6FBB34B1"/>
    <w:multiLevelType w:val="hybridMultilevel"/>
    <w:tmpl w:val="3ABC8B0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1F45EEE"/>
    <w:multiLevelType w:val="hybridMultilevel"/>
    <w:tmpl w:val="11B241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749D9"/>
    <w:multiLevelType w:val="hybridMultilevel"/>
    <w:tmpl w:val="103E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4D5281"/>
    <w:multiLevelType w:val="hybridMultilevel"/>
    <w:tmpl w:val="A628DE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99F2D32"/>
    <w:multiLevelType w:val="hybridMultilevel"/>
    <w:tmpl w:val="04C696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7F3C7B45"/>
    <w:multiLevelType w:val="hybridMultilevel"/>
    <w:tmpl w:val="9F4CB3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FF231DD"/>
    <w:multiLevelType w:val="hybridMultilevel"/>
    <w:tmpl w:val="5B62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1"/>
  </w:num>
  <w:num w:numId="4">
    <w:abstractNumId w:val="14"/>
  </w:num>
  <w:num w:numId="5">
    <w:abstractNumId w:val="23"/>
  </w:num>
  <w:num w:numId="6">
    <w:abstractNumId w:val="2"/>
  </w:num>
  <w:num w:numId="7">
    <w:abstractNumId w:val="20"/>
  </w:num>
  <w:num w:numId="8">
    <w:abstractNumId w:val="33"/>
  </w:num>
  <w:num w:numId="9">
    <w:abstractNumId w:val="17"/>
  </w:num>
  <w:num w:numId="10">
    <w:abstractNumId w:val="45"/>
  </w:num>
  <w:num w:numId="11">
    <w:abstractNumId w:val="1"/>
  </w:num>
  <w:num w:numId="12">
    <w:abstractNumId w:val="37"/>
  </w:num>
  <w:num w:numId="13">
    <w:abstractNumId w:val="5"/>
  </w:num>
  <w:num w:numId="14">
    <w:abstractNumId w:val="31"/>
  </w:num>
  <w:num w:numId="15">
    <w:abstractNumId w:val="36"/>
  </w:num>
  <w:num w:numId="16">
    <w:abstractNumId w:val="15"/>
  </w:num>
  <w:num w:numId="17">
    <w:abstractNumId w:val="21"/>
  </w:num>
  <w:num w:numId="18">
    <w:abstractNumId w:val="35"/>
  </w:num>
  <w:num w:numId="19">
    <w:abstractNumId w:val="0"/>
  </w:num>
  <w:num w:numId="20">
    <w:abstractNumId w:val="30"/>
  </w:num>
  <w:num w:numId="21">
    <w:abstractNumId w:val="24"/>
  </w:num>
  <w:num w:numId="22">
    <w:abstractNumId w:val="42"/>
  </w:num>
  <w:num w:numId="23">
    <w:abstractNumId w:val="29"/>
  </w:num>
  <w:num w:numId="24">
    <w:abstractNumId w:val="3"/>
  </w:num>
  <w:num w:numId="25">
    <w:abstractNumId w:val="41"/>
  </w:num>
  <w:num w:numId="26">
    <w:abstractNumId w:val="9"/>
  </w:num>
  <w:num w:numId="27">
    <w:abstractNumId w:val="13"/>
  </w:num>
  <w:num w:numId="28">
    <w:abstractNumId w:val="46"/>
  </w:num>
  <w:num w:numId="29">
    <w:abstractNumId w:val="40"/>
  </w:num>
  <w:num w:numId="30">
    <w:abstractNumId w:val="18"/>
  </w:num>
  <w:num w:numId="31">
    <w:abstractNumId w:val="43"/>
  </w:num>
  <w:num w:numId="32">
    <w:abstractNumId w:val="44"/>
  </w:num>
  <w:num w:numId="33">
    <w:abstractNumId w:val="12"/>
  </w:num>
  <w:num w:numId="34">
    <w:abstractNumId w:val="34"/>
  </w:num>
  <w:num w:numId="35">
    <w:abstractNumId w:val="22"/>
  </w:num>
  <w:num w:numId="36">
    <w:abstractNumId w:val="4"/>
  </w:num>
  <w:num w:numId="37">
    <w:abstractNumId w:val="39"/>
  </w:num>
  <w:num w:numId="38">
    <w:abstractNumId w:val="32"/>
  </w:num>
  <w:num w:numId="39">
    <w:abstractNumId w:val="38"/>
  </w:num>
  <w:num w:numId="40">
    <w:abstractNumId w:val="19"/>
  </w:num>
  <w:num w:numId="41">
    <w:abstractNumId w:val="28"/>
  </w:num>
  <w:num w:numId="42">
    <w:abstractNumId w:val="25"/>
  </w:num>
  <w:num w:numId="43">
    <w:abstractNumId w:val="47"/>
  </w:num>
  <w:num w:numId="44">
    <w:abstractNumId w:val="8"/>
  </w:num>
  <w:num w:numId="45">
    <w:abstractNumId w:val="27"/>
  </w:num>
  <w:num w:numId="46">
    <w:abstractNumId w:val="6"/>
  </w:num>
  <w:num w:numId="47">
    <w:abstractNumId w:val="48"/>
  </w:num>
  <w:num w:numId="48">
    <w:abstractNumId w:val="16"/>
  </w:num>
  <w:num w:numId="4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286E"/>
    <w:rsid w:val="00023D3B"/>
    <w:rsid w:val="00034206"/>
    <w:rsid w:val="00066941"/>
    <w:rsid w:val="000714B8"/>
    <w:rsid w:val="00080FE9"/>
    <w:rsid w:val="000844B1"/>
    <w:rsid w:val="000877B9"/>
    <w:rsid w:val="0009409E"/>
    <w:rsid w:val="0009439C"/>
    <w:rsid w:val="000C0137"/>
    <w:rsid w:val="000C4354"/>
    <w:rsid w:val="000D5815"/>
    <w:rsid w:val="000E3054"/>
    <w:rsid w:val="00102770"/>
    <w:rsid w:val="00103C3A"/>
    <w:rsid w:val="00107391"/>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189"/>
    <w:rsid w:val="001E66E8"/>
    <w:rsid w:val="001F0E20"/>
    <w:rsid w:val="00201CE2"/>
    <w:rsid w:val="00203FB1"/>
    <w:rsid w:val="002134B4"/>
    <w:rsid w:val="002571C9"/>
    <w:rsid w:val="0026156B"/>
    <w:rsid w:val="002746CD"/>
    <w:rsid w:val="00281D91"/>
    <w:rsid w:val="00286ADD"/>
    <w:rsid w:val="00292677"/>
    <w:rsid w:val="00294980"/>
    <w:rsid w:val="0029740B"/>
    <w:rsid w:val="002A01D4"/>
    <w:rsid w:val="002A08DB"/>
    <w:rsid w:val="002A5360"/>
    <w:rsid w:val="002B0293"/>
    <w:rsid w:val="002B4B9D"/>
    <w:rsid w:val="002B5E64"/>
    <w:rsid w:val="002B6259"/>
    <w:rsid w:val="002F01A5"/>
    <w:rsid w:val="002F3BB3"/>
    <w:rsid w:val="00305187"/>
    <w:rsid w:val="00314182"/>
    <w:rsid w:val="00314386"/>
    <w:rsid w:val="00333238"/>
    <w:rsid w:val="00336DBE"/>
    <w:rsid w:val="0034296E"/>
    <w:rsid w:val="003436A2"/>
    <w:rsid w:val="003450B8"/>
    <w:rsid w:val="00351216"/>
    <w:rsid w:val="00352755"/>
    <w:rsid w:val="00354224"/>
    <w:rsid w:val="00373852"/>
    <w:rsid w:val="003862B3"/>
    <w:rsid w:val="00386A15"/>
    <w:rsid w:val="00387745"/>
    <w:rsid w:val="003B0744"/>
    <w:rsid w:val="003C547D"/>
    <w:rsid w:val="003C60FC"/>
    <w:rsid w:val="003D4C78"/>
    <w:rsid w:val="003E5ADF"/>
    <w:rsid w:val="00402E1C"/>
    <w:rsid w:val="00405214"/>
    <w:rsid w:val="00405392"/>
    <w:rsid w:val="00440463"/>
    <w:rsid w:val="00444121"/>
    <w:rsid w:val="00452525"/>
    <w:rsid w:val="00462B65"/>
    <w:rsid w:val="0046423E"/>
    <w:rsid w:val="004713C4"/>
    <w:rsid w:val="004858A6"/>
    <w:rsid w:val="004A69C2"/>
    <w:rsid w:val="004B5AC8"/>
    <w:rsid w:val="004B5C5A"/>
    <w:rsid w:val="004C30FA"/>
    <w:rsid w:val="004D0323"/>
    <w:rsid w:val="00502254"/>
    <w:rsid w:val="005101D5"/>
    <w:rsid w:val="00522354"/>
    <w:rsid w:val="00525564"/>
    <w:rsid w:val="00530DCD"/>
    <w:rsid w:val="00531B4C"/>
    <w:rsid w:val="0053390E"/>
    <w:rsid w:val="0053540F"/>
    <w:rsid w:val="0054060D"/>
    <w:rsid w:val="00552299"/>
    <w:rsid w:val="005610ED"/>
    <w:rsid w:val="00562A3B"/>
    <w:rsid w:val="00566FA3"/>
    <w:rsid w:val="00576B0E"/>
    <w:rsid w:val="0058177B"/>
    <w:rsid w:val="005B07A7"/>
    <w:rsid w:val="005D1ABB"/>
    <w:rsid w:val="005E0140"/>
    <w:rsid w:val="005E6BEA"/>
    <w:rsid w:val="00604DA5"/>
    <w:rsid w:val="00616A30"/>
    <w:rsid w:val="00621FCF"/>
    <w:rsid w:val="00626257"/>
    <w:rsid w:val="006374A1"/>
    <w:rsid w:val="00645AF9"/>
    <w:rsid w:val="00654FC0"/>
    <w:rsid w:val="00657EBF"/>
    <w:rsid w:val="006747EE"/>
    <w:rsid w:val="00694055"/>
    <w:rsid w:val="006963B4"/>
    <w:rsid w:val="006B19C0"/>
    <w:rsid w:val="006D1293"/>
    <w:rsid w:val="006D5849"/>
    <w:rsid w:val="006E3D00"/>
    <w:rsid w:val="006F3FBC"/>
    <w:rsid w:val="006F5268"/>
    <w:rsid w:val="00700D8A"/>
    <w:rsid w:val="00700FC3"/>
    <w:rsid w:val="00707F78"/>
    <w:rsid w:val="0071231E"/>
    <w:rsid w:val="007136B3"/>
    <w:rsid w:val="0072043A"/>
    <w:rsid w:val="00720F22"/>
    <w:rsid w:val="007367AF"/>
    <w:rsid w:val="00745974"/>
    <w:rsid w:val="00797621"/>
    <w:rsid w:val="007A0312"/>
    <w:rsid w:val="007A4532"/>
    <w:rsid w:val="007A637A"/>
    <w:rsid w:val="007B028C"/>
    <w:rsid w:val="007B0AFD"/>
    <w:rsid w:val="007B6744"/>
    <w:rsid w:val="007C290B"/>
    <w:rsid w:val="007D30E7"/>
    <w:rsid w:val="007D41FD"/>
    <w:rsid w:val="007D5EF8"/>
    <w:rsid w:val="007E1640"/>
    <w:rsid w:val="007E731C"/>
    <w:rsid w:val="007F2C6E"/>
    <w:rsid w:val="007F6DDC"/>
    <w:rsid w:val="00813E8D"/>
    <w:rsid w:val="008168C6"/>
    <w:rsid w:val="00821931"/>
    <w:rsid w:val="00834B38"/>
    <w:rsid w:val="0083640D"/>
    <w:rsid w:val="0084280D"/>
    <w:rsid w:val="00856FDC"/>
    <w:rsid w:val="00862992"/>
    <w:rsid w:val="008633AE"/>
    <w:rsid w:val="008733B5"/>
    <w:rsid w:val="008830E3"/>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5C3F"/>
    <w:rsid w:val="00986172"/>
    <w:rsid w:val="009B6FB1"/>
    <w:rsid w:val="009C2D43"/>
    <w:rsid w:val="009D57D0"/>
    <w:rsid w:val="009E6B9F"/>
    <w:rsid w:val="009F1E9D"/>
    <w:rsid w:val="009F2879"/>
    <w:rsid w:val="00A1248C"/>
    <w:rsid w:val="00A313BD"/>
    <w:rsid w:val="00A42EF4"/>
    <w:rsid w:val="00A45CA9"/>
    <w:rsid w:val="00A56C91"/>
    <w:rsid w:val="00A62CA1"/>
    <w:rsid w:val="00A707EE"/>
    <w:rsid w:val="00A751EC"/>
    <w:rsid w:val="00A7524B"/>
    <w:rsid w:val="00A77722"/>
    <w:rsid w:val="00A80515"/>
    <w:rsid w:val="00A83221"/>
    <w:rsid w:val="00A90EBE"/>
    <w:rsid w:val="00AB267D"/>
    <w:rsid w:val="00AD20E8"/>
    <w:rsid w:val="00AD49B1"/>
    <w:rsid w:val="00AE26B2"/>
    <w:rsid w:val="00AF07DF"/>
    <w:rsid w:val="00AF29E8"/>
    <w:rsid w:val="00AF62AD"/>
    <w:rsid w:val="00AF791C"/>
    <w:rsid w:val="00B116F2"/>
    <w:rsid w:val="00B250AB"/>
    <w:rsid w:val="00B36698"/>
    <w:rsid w:val="00B56858"/>
    <w:rsid w:val="00BA5FA5"/>
    <w:rsid w:val="00BD6EFD"/>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17DA1"/>
    <w:rsid w:val="00D23291"/>
    <w:rsid w:val="00D25179"/>
    <w:rsid w:val="00D2739C"/>
    <w:rsid w:val="00D41E36"/>
    <w:rsid w:val="00D4756F"/>
    <w:rsid w:val="00D50AC5"/>
    <w:rsid w:val="00D60663"/>
    <w:rsid w:val="00D7242D"/>
    <w:rsid w:val="00D81E44"/>
    <w:rsid w:val="00D87421"/>
    <w:rsid w:val="00D90EC0"/>
    <w:rsid w:val="00DC094C"/>
    <w:rsid w:val="00DC3F40"/>
    <w:rsid w:val="00DC4AB0"/>
    <w:rsid w:val="00DC504D"/>
    <w:rsid w:val="00DC5D35"/>
    <w:rsid w:val="00DD3BDA"/>
    <w:rsid w:val="00DE517A"/>
    <w:rsid w:val="00DF5AB1"/>
    <w:rsid w:val="00E06BE5"/>
    <w:rsid w:val="00E07B64"/>
    <w:rsid w:val="00E45D40"/>
    <w:rsid w:val="00E529A2"/>
    <w:rsid w:val="00E52C48"/>
    <w:rsid w:val="00E6453D"/>
    <w:rsid w:val="00E65434"/>
    <w:rsid w:val="00E7321E"/>
    <w:rsid w:val="00E83707"/>
    <w:rsid w:val="00E93851"/>
    <w:rsid w:val="00EA4F6B"/>
    <w:rsid w:val="00EB3246"/>
    <w:rsid w:val="00EB4AEC"/>
    <w:rsid w:val="00EB632E"/>
    <w:rsid w:val="00ED0205"/>
    <w:rsid w:val="00ED6EDD"/>
    <w:rsid w:val="00ED7CAB"/>
    <w:rsid w:val="00EE5475"/>
    <w:rsid w:val="00F07151"/>
    <w:rsid w:val="00F160A6"/>
    <w:rsid w:val="00F22C53"/>
    <w:rsid w:val="00F26390"/>
    <w:rsid w:val="00F47286"/>
    <w:rsid w:val="00F509D3"/>
    <w:rsid w:val="00F50ECA"/>
    <w:rsid w:val="00F51878"/>
    <w:rsid w:val="00F653B3"/>
    <w:rsid w:val="00F80A4A"/>
    <w:rsid w:val="00F81795"/>
    <w:rsid w:val="00F81B0C"/>
    <w:rsid w:val="00F84FC3"/>
    <w:rsid w:val="00FA7D58"/>
    <w:rsid w:val="00FB08AC"/>
    <w:rsid w:val="00FB7056"/>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styleId="Hyperlink">
    <w:name w:val="Hyperlink"/>
    <w:unhideWhenUsed/>
    <w:rsid w:val="00D4756F"/>
    <w:rPr>
      <w:color w:val="0000FF"/>
      <w:u w:val="single"/>
    </w:rPr>
  </w:style>
  <w:style w:type="paragraph" w:customStyle="1" w:styleId="smallprint">
    <w:name w:val="small print"/>
    <w:basedOn w:val="Normal"/>
    <w:link w:val="smallprintChar"/>
    <w:qFormat/>
    <w:rsid w:val="00D4756F"/>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4756F"/>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52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styleId="Hyperlink">
    <w:name w:val="Hyperlink"/>
    <w:unhideWhenUsed/>
    <w:rsid w:val="00D4756F"/>
    <w:rPr>
      <w:color w:val="0000FF"/>
      <w:u w:val="single"/>
    </w:rPr>
  </w:style>
  <w:style w:type="paragraph" w:customStyle="1" w:styleId="smallprint">
    <w:name w:val="small print"/>
    <w:basedOn w:val="Normal"/>
    <w:link w:val="smallprintChar"/>
    <w:qFormat/>
    <w:rsid w:val="00D4756F"/>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4756F"/>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52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4"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4"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Y314 Scheme of Work</dc:title>
  <dc:creator>OCR</dc:creator>
  <cp:keywords>A Level; History; SOW; Y314; Challenge; German; Nationalism</cp:keywords>
  <cp:lastModifiedBy>Nicola Williams</cp:lastModifiedBy>
  <cp:revision>4</cp:revision>
  <cp:lastPrinted>2015-03-03T12:05:00Z</cp:lastPrinted>
  <dcterms:created xsi:type="dcterms:W3CDTF">2017-06-29T12:57:00Z</dcterms:created>
  <dcterms:modified xsi:type="dcterms:W3CDTF">2017-06-30T10:18:00Z</dcterms:modified>
</cp:coreProperties>
</file>