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35AF2F" w14:textId="77777777" w:rsidR="00B85E0C" w:rsidRPr="00B97150" w:rsidRDefault="00B85E0C" w:rsidP="00B85E0C">
      <w:pPr>
        <w:pStyle w:val="Heading1"/>
        <w:spacing w:before="0"/>
      </w:pPr>
      <w:r w:rsidRPr="00B97150">
        <w:t>Teacher resource</w:t>
      </w:r>
    </w:p>
    <w:p w14:paraId="548E59A4" w14:textId="77777777" w:rsidR="00B85E0C" w:rsidRPr="00B97150" w:rsidRDefault="00B85E0C" w:rsidP="00B85E0C">
      <w:pPr>
        <w:pStyle w:val="Heading1"/>
        <w:spacing w:before="240"/>
      </w:pPr>
      <w:r w:rsidRPr="00B97150">
        <w:t xml:space="preserve">The Hunger Games - </w:t>
      </w:r>
      <w:r>
        <w:t>Scene a</w:t>
      </w:r>
      <w:r w:rsidRPr="00B97150">
        <w:t>nalysis</w:t>
      </w:r>
    </w:p>
    <w:p w14:paraId="6AAF59C5" w14:textId="65711D13" w:rsidR="00B85E0C" w:rsidRPr="00B97150" w:rsidRDefault="000567C0" w:rsidP="00B85E0C">
      <w:pPr>
        <w:pStyle w:val="Heading3"/>
      </w:pPr>
      <w:r>
        <w:t xml:space="preserve">Opening </w:t>
      </w:r>
      <w:r w:rsidR="00B85E0C" w:rsidRPr="00B97150">
        <w:t>0:00 – 5:00</w:t>
      </w:r>
    </w:p>
    <w:p w14:paraId="23A5E206" w14:textId="77777777" w:rsidR="00B85E0C" w:rsidRDefault="00B85E0C" w:rsidP="00B85E0C">
      <w:r>
        <w:t>Consider how the opening scene introduces the narrative and aligns the audience with Katniss.  How is Katniss introduced as the hero/protagonist?  What is the audience’s impression of her?</w:t>
      </w:r>
    </w:p>
    <w:p w14:paraId="2DDCCE42" w14:textId="77777777" w:rsidR="00B85E0C" w:rsidRDefault="00B85E0C" w:rsidP="00B85E0C">
      <w:r>
        <w:t>You should comment on the use of:</w:t>
      </w:r>
    </w:p>
    <w:p w14:paraId="0AE177CC" w14:textId="77777777" w:rsidR="00B85E0C" w:rsidRDefault="00B85E0C" w:rsidP="00B85E0C">
      <w:pPr>
        <w:pStyle w:val="ListParagraph"/>
        <w:numPr>
          <w:ilvl w:val="0"/>
          <w:numId w:val="5"/>
        </w:numPr>
      </w:pPr>
      <w:r>
        <w:t>cinematography</w:t>
      </w:r>
    </w:p>
    <w:p w14:paraId="06BD7AF8" w14:textId="77777777" w:rsidR="00B85E0C" w:rsidRDefault="00B85E0C" w:rsidP="00B85E0C">
      <w:pPr>
        <w:pStyle w:val="ListParagraph"/>
        <w:numPr>
          <w:ilvl w:val="0"/>
          <w:numId w:val="5"/>
        </w:numPr>
      </w:pPr>
      <w:r>
        <w:t>sound, including dialogue</w:t>
      </w:r>
    </w:p>
    <w:p w14:paraId="2E2335DD" w14:textId="77777777" w:rsidR="00B85E0C" w:rsidRDefault="00B85E0C" w:rsidP="00B85E0C">
      <w:pPr>
        <w:pStyle w:val="ListParagraph"/>
        <w:numPr>
          <w:ilvl w:val="0"/>
          <w:numId w:val="5"/>
        </w:numPr>
      </w:pPr>
      <w:r w:rsidRPr="00B85E0C">
        <w:rPr>
          <w:rFonts w:cs="Calibri"/>
          <w:color w:val="221E1F"/>
        </w:rPr>
        <w:t>mise-en-scène</w:t>
      </w:r>
      <w:r w:rsidRPr="00B97150">
        <w:t>, including iconography</w:t>
      </w:r>
    </w:p>
    <w:p w14:paraId="10636523" w14:textId="77777777" w:rsidR="00F32CB5" w:rsidRDefault="00F32CB5" w:rsidP="00F32CB5">
      <w:pPr>
        <w:pStyle w:val="ListParagraph"/>
        <w:numPr>
          <w:ilvl w:val="0"/>
          <w:numId w:val="5"/>
        </w:numPr>
      </w:pPr>
      <w:r>
        <w:t>editing</w:t>
      </w:r>
    </w:p>
    <w:p w14:paraId="17D63ADA" w14:textId="77777777" w:rsidR="00B85E0C" w:rsidRPr="00B97150" w:rsidRDefault="00B85E0C" w:rsidP="00B85E0C">
      <w:pPr>
        <w:pStyle w:val="ListParagraph"/>
        <w:numPr>
          <w:ilvl w:val="0"/>
          <w:numId w:val="5"/>
        </w:numPr>
      </w:pPr>
      <w:bookmarkStart w:id="0" w:name="_GoBack"/>
      <w:bookmarkEnd w:id="0"/>
      <w:r>
        <w:t>p</w:t>
      </w:r>
      <w:r w:rsidRPr="00B97150">
        <w:t>erformance</w:t>
      </w:r>
      <w:r>
        <w:t>.</w:t>
      </w:r>
    </w:p>
    <w:p w14:paraId="6CC76BAA" w14:textId="77777777" w:rsidR="00B85E0C" w:rsidRPr="00B97150" w:rsidRDefault="00B85E0C" w:rsidP="00B85E0C">
      <w:pPr>
        <w:pStyle w:val="Heading3"/>
      </w:pPr>
      <w:r w:rsidRPr="00B97150">
        <w:t>The Reaping 10.14 - 19.05</w:t>
      </w:r>
    </w:p>
    <w:p w14:paraId="397A549D" w14:textId="77777777" w:rsidR="00B85E0C" w:rsidRDefault="00B85E0C" w:rsidP="00B85E0C">
      <w:r>
        <w:t>How are the micro elements of film form used in the reaping scene to convey the following?</w:t>
      </w:r>
    </w:p>
    <w:p w14:paraId="250CEE9E" w14:textId="77777777" w:rsidR="00B85E0C" w:rsidRDefault="00B85E0C" w:rsidP="00B85E0C">
      <w:pPr>
        <w:pStyle w:val="ListParagraph"/>
        <w:numPr>
          <w:ilvl w:val="0"/>
          <w:numId w:val="7"/>
        </w:numPr>
      </w:pPr>
      <w:r>
        <w:t>The oppression of the citizens of District 12.</w:t>
      </w:r>
    </w:p>
    <w:p w14:paraId="7C2AE63B" w14:textId="77777777" w:rsidR="00B85E0C" w:rsidRDefault="00B85E0C" w:rsidP="00B85E0C">
      <w:pPr>
        <w:pStyle w:val="ListParagraph"/>
        <w:numPr>
          <w:ilvl w:val="0"/>
          <w:numId w:val="7"/>
        </w:numPr>
      </w:pPr>
      <w:r>
        <w:t>Analogies to historical oppressive regimes, especially Nazi Germany.</w:t>
      </w:r>
    </w:p>
    <w:p w14:paraId="14CF668A" w14:textId="77777777" w:rsidR="00B85E0C" w:rsidRDefault="00B85E0C" w:rsidP="00B85E0C">
      <w:pPr>
        <w:pStyle w:val="ListParagraph"/>
        <w:numPr>
          <w:ilvl w:val="0"/>
          <w:numId w:val="7"/>
        </w:numPr>
        <w:spacing w:after="240"/>
      </w:pPr>
      <w:r>
        <w:t>Katniss’ character function as hero.</w:t>
      </w:r>
    </w:p>
    <w:p w14:paraId="739D6E68" w14:textId="77777777" w:rsidR="00B85E0C" w:rsidRDefault="00B85E0C" w:rsidP="00B85E0C">
      <w:r>
        <w:t>What do you think is the intended emotional response to these scenes?  How does the director convey this through the micro elements?</w:t>
      </w:r>
    </w:p>
    <w:p w14:paraId="79A18769" w14:textId="77777777" w:rsidR="00B85E0C" w:rsidRDefault="00B85E0C" w:rsidP="00B85E0C">
      <w:r>
        <w:t>How are social groups represented in this scene?</w:t>
      </w:r>
    </w:p>
    <w:p w14:paraId="44D4BC42" w14:textId="77777777" w:rsidR="00B85E0C" w:rsidRDefault="00B85E0C" w:rsidP="00B85E0C">
      <w:r>
        <w:t>What purpose does this scene serve in the narrative structure of the film?</w:t>
      </w:r>
    </w:p>
    <w:p w14:paraId="2FC66ECE" w14:textId="77777777" w:rsidR="00B85E0C" w:rsidRPr="00B97150" w:rsidRDefault="00B85E0C" w:rsidP="00B85E0C">
      <w:pPr>
        <w:pStyle w:val="Heading3"/>
      </w:pPr>
      <w:r w:rsidRPr="00B97150">
        <w:t xml:space="preserve">Arrival at </w:t>
      </w:r>
      <w:proofErr w:type="spellStart"/>
      <w:r w:rsidRPr="00B97150">
        <w:t>Panem</w:t>
      </w:r>
      <w:proofErr w:type="spellEnd"/>
      <w:r w:rsidRPr="00B97150">
        <w:t xml:space="preserve"> 29.04 37.00</w:t>
      </w:r>
    </w:p>
    <w:p w14:paraId="6A95B438" w14:textId="77777777" w:rsidR="00B85E0C" w:rsidRDefault="00B85E0C" w:rsidP="00B85E0C">
      <w:r>
        <w:t xml:space="preserve">How are digital special effects used to create spectacle and generate emotional response in this scene?  </w:t>
      </w:r>
    </w:p>
    <w:p w14:paraId="1C353BC1" w14:textId="77777777" w:rsidR="00B85E0C" w:rsidRPr="00B97150" w:rsidRDefault="00B85E0C" w:rsidP="00B85E0C">
      <w:pPr>
        <w:pStyle w:val="Heading3"/>
      </w:pPr>
      <w:r w:rsidRPr="00B97150">
        <w:t>Countdown 1:02.</w:t>
      </w:r>
      <w:r w:rsidRPr="00B85E0C">
        <w:rPr>
          <w:rFonts w:eastAsia="Calibri"/>
        </w:rPr>
        <w:t>20</w:t>
      </w:r>
      <w:r w:rsidRPr="00B97150">
        <w:t xml:space="preserve"> – 1.10</w:t>
      </w:r>
    </w:p>
    <w:p w14:paraId="41420CCA" w14:textId="77777777" w:rsidR="00B85E0C" w:rsidRDefault="00B85E0C" w:rsidP="00B85E0C">
      <w:r>
        <w:t>How are the micro elements of film form used to generate emotional response in this scene?  How might your response differ to the filmmakers’ intention?</w:t>
      </w:r>
    </w:p>
    <w:p w14:paraId="1DF18BA2" w14:textId="77777777" w:rsidR="00B85E0C" w:rsidRDefault="00B85E0C" w:rsidP="00B85E0C">
      <w:r>
        <w:t xml:space="preserve">How are </w:t>
      </w:r>
      <w:r w:rsidRPr="00B85E0C">
        <w:t>digital</w:t>
      </w:r>
      <w:r>
        <w:t xml:space="preserve"> special effects used in this scene?</w:t>
      </w:r>
    </w:p>
    <w:p w14:paraId="56868F0E" w14:textId="77777777" w:rsidR="00B85E0C" w:rsidRDefault="00B85E0C" w:rsidP="00B85E0C">
      <w:r>
        <w:t>How are the social groups represented in this scene?</w:t>
      </w:r>
    </w:p>
    <w:p w14:paraId="7E14F595" w14:textId="77777777" w:rsidR="00C478A6" w:rsidRDefault="00C478A6" w:rsidP="007953E7"/>
    <w:p w14:paraId="051E40BB" w14:textId="77777777" w:rsidR="00C478A6" w:rsidRDefault="00C478A6" w:rsidP="007953E7">
      <w:pPr>
        <w:sectPr w:rsidR="00C478A6" w:rsidSect="00C478A6">
          <w:headerReference w:type="default" r:id="rId8"/>
          <w:footerReference w:type="default" r:id="rId9"/>
          <w:pgSz w:w="11906" w:h="16838" w:code="9"/>
          <w:pgMar w:top="873" w:right="1133" w:bottom="1440" w:left="1134" w:header="567" w:footer="567" w:gutter="0"/>
          <w:cols w:space="708"/>
          <w:docGrid w:linePitch="360"/>
        </w:sectPr>
      </w:pPr>
    </w:p>
    <w:p w14:paraId="0F14CCF6" w14:textId="77777777" w:rsidR="00B85E0C" w:rsidRPr="00B97150" w:rsidRDefault="00B85E0C" w:rsidP="00B85E0C">
      <w:pPr>
        <w:pStyle w:val="Heading3"/>
      </w:pPr>
      <w:r w:rsidRPr="00B97150">
        <w:lastRenderedPageBreak/>
        <w:t>Death of Rue 1:38.45 – 1:45.08</w:t>
      </w:r>
    </w:p>
    <w:p w14:paraId="2C07C293" w14:textId="77777777" w:rsidR="00B85E0C" w:rsidRDefault="00B85E0C" w:rsidP="00B85E0C">
      <w:r>
        <w:t>What techniques are used to generate emotional response in this scene? How might your response differ to the filmmakers’ intention?</w:t>
      </w:r>
    </w:p>
    <w:p w14:paraId="40C046A3" w14:textId="77777777" w:rsidR="00B85E0C" w:rsidRDefault="00B85E0C" w:rsidP="00B85E0C">
      <w:r>
        <w:t>How are social groups represented in this scene?</w:t>
      </w:r>
    </w:p>
    <w:p w14:paraId="2B62AEC3" w14:textId="77777777" w:rsidR="00B85E0C" w:rsidRDefault="00B85E0C" w:rsidP="00B85E0C">
      <w:r>
        <w:t>What purpose does this scene serve in the narrative structure of the film?</w:t>
      </w:r>
    </w:p>
    <w:p w14:paraId="72574C0C" w14:textId="77777777" w:rsidR="00B85E0C" w:rsidRPr="00B97150" w:rsidRDefault="00B85E0C" w:rsidP="00B85E0C">
      <w:pPr>
        <w:pStyle w:val="Heading3"/>
      </w:pPr>
      <w:r w:rsidRPr="00B97150">
        <w:t>Ending 2:02.01 – 2:06:47</w:t>
      </w:r>
    </w:p>
    <w:p w14:paraId="1A0D63D8" w14:textId="77777777" w:rsidR="00B85E0C" w:rsidRDefault="00B85E0C" w:rsidP="00B85E0C">
      <w:r>
        <w:t>What techniques are used to generate emotional response in this scene? How might your response differ to the filmmakers’ intention?</w:t>
      </w:r>
    </w:p>
    <w:p w14:paraId="0EBC1623" w14:textId="77777777" w:rsidR="00B85E0C" w:rsidRDefault="00B85E0C" w:rsidP="00B85E0C">
      <w:r>
        <w:t>How do the digital special effects add to the emotional impact of this scene?</w:t>
      </w:r>
    </w:p>
    <w:p w14:paraId="60A9E6D3" w14:textId="77777777" w:rsidR="00B85E0C" w:rsidRDefault="00B85E0C" w:rsidP="00B85E0C">
      <w:r>
        <w:t>How does this scene serve as the climax?</w:t>
      </w:r>
    </w:p>
    <w:p w14:paraId="02C39C05" w14:textId="77777777" w:rsidR="00B85E0C" w:rsidRPr="00B97150" w:rsidRDefault="00B85E0C" w:rsidP="00B85E0C">
      <w:pPr>
        <w:pStyle w:val="Heading3"/>
      </w:pPr>
      <w:r w:rsidRPr="00B97150">
        <w:t xml:space="preserve">Emotional </w:t>
      </w:r>
      <w:r>
        <w:t>r</w:t>
      </w:r>
      <w:r w:rsidRPr="00B97150">
        <w:t>esponse</w:t>
      </w:r>
    </w:p>
    <w:p w14:paraId="25450B37" w14:textId="77777777" w:rsidR="00B85E0C" w:rsidRDefault="00B85E0C" w:rsidP="00B85E0C">
      <w:r>
        <w:t>Consider the following:</w:t>
      </w:r>
    </w:p>
    <w:p w14:paraId="64CBF494" w14:textId="77777777" w:rsidR="00B85E0C" w:rsidRDefault="00B85E0C" w:rsidP="00B85E0C">
      <w:pPr>
        <w:pStyle w:val="ListParagraph"/>
        <w:numPr>
          <w:ilvl w:val="0"/>
          <w:numId w:val="9"/>
        </w:numPr>
      </w:pPr>
      <w:r>
        <w:t xml:space="preserve">The relationship between </w:t>
      </w:r>
      <w:proofErr w:type="spellStart"/>
      <w:r>
        <w:t>Katniss</w:t>
      </w:r>
      <w:proofErr w:type="spellEnd"/>
      <w:r>
        <w:t xml:space="preserve"> and </w:t>
      </w:r>
      <w:proofErr w:type="spellStart"/>
      <w:r>
        <w:t>Peeta</w:t>
      </w:r>
      <w:proofErr w:type="spellEnd"/>
    </w:p>
    <w:p w14:paraId="7F72BA10" w14:textId="77777777" w:rsidR="00B85E0C" w:rsidRDefault="00B85E0C" w:rsidP="00B85E0C">
      <w:pPr>
        <w:pStyle w:val="ListParagraph"/>
        <w:numPr>
          <w:ilvl w:val="0"/>
          <w:numId w:val="9"/>
        </w:numPr>
      </w:pPr>
      <w:r>
        <w:t>The relationship between Katniss and Rue</w:t>
      </w:r>
    </w:p>
    <w:p w14:paraId="6F58F205" w14:textId="77777777" w:rsidR="00B85E0C" w:rsidRDefault="00B85E0C" w:rsidP="00B85E0C">
      <w:pPr>
        <w:pStyle w:val="ListParagraph"/>
        <w:numPr>
          <w:ilvl w:val="0"/>
          <w:numId w:val="9"/>
        </w:numPr>
      </w:pPr>
      <w:r>
        <w:t>Spectator alignment with Katniss (use of close up, point of view, etc.)</w:t>
      </w:r>
    </w:p>
    <w:p w14:paraId="42498D8C" w14:textId="77777777" w:rsidR="00B85E0C" w:rsidRDefault="00B85E0C" w:rsidP="00B85E0C">
      <w:pPr>
        <w:pStyle w:val="ListParagraph"/>
        <w:numPr>
          <w:ilvl w:val="0"/>
          <w:numId w:val="9"/>
        </w:numPr>
      </w:pPr>
      <w:r>
        <w:t>Sense of threat.</w:t>
      </w:r>
    </w:p>
    <w:p w14:paraId="05822052" w14:textId="4BB024B5" w:rsidR="009B189A" w:rsidRDefault="009B189A" w:rsidP="009B189A"/>
    <w:p w14:paraId="02751427" w14:textId="324DF88D" w:rsidR="00B85E0C" w:rsidRDefault="00B85E0C" w:rsidP="00B85E0C"/>
    <w:p w14:paraId="06696D39" w14:textId="1A3FF462" w:rsidR="00B85E0C" w:rsidRDefault="00B85E0C" w:rsidP="00B85E0C"/>
    <w:p w14:paraId="7CEF875C" w14:textId="228F11F2" w:rsidR="00551083" w:rsidRDefault="009B189A" w:rsidP="003340DE">
      <w:r>
        <w:rPr>
          <w:noProof/>
          <w:lang w:eastAsia="en-GB"/>
        </w:rPr>
        <mc:AlternateContent>
          <mc:Choice Requires="wps">
            <w:drawing>
              <wp:anchor distT="0" distB="0" distL="114300" distR="114300" simplePos="0" relativeHeight="251659264" behindDoc="0" locked="0" layoutInCell="1" allowOverlap="1" wp14:anchorId="5D732153" wp14:editId="05FF7D51">
                <wp:simplePos x="0" y="0"/>
                <wp:positionH relativeFrom="column">
                  <wp:posOffset>-97336</wp:posOffset>
                </wp:positionH>
                <wp:positionV relativeFrom="paragraph">
                  <wp:posOffset>2045063</wp:posOffset>
                </wp:positionV>
                <wp:extent cx="6409690" cy="1189355"/>
                <wp:effectExtent l="0" t="5715" r="3810" b="0"/>
                <wp:wrapNone/>
                <wp:docPr id="1" name="AutoShape 18"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9690" cy="118935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6A23E3A9" w14:textId="77777777" w:rsidR="009B189A" w:rsidRDefault="009B189A" w:rsidP="009B189A">
                            <w:pPr>
                              <w:spacing w:after="0" w:line="360" w:lineRule="auto"/>
                              <w:rPr>
                                <w:rFonts w:cs="Arial"/>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Pr>
                                <w:rFonts w:cs="Arial"/>
                                <w:iCs/>
                                <w:color w:val="000000"/>
                                <w:sz w:val="12"/>
                                <w:szCs w:val="12"/>
                              </w:rPr>
                              <w:t xml:space="preserve">OCR’s </w:t>
                            </w:r>
                            <w:r w:rsidRPr="005D2D46">
                              <w:rPr>
                                <w:rStyle w:val="smallprintChar"/>
                                <w:rFonts w:eastAsia="Calibri"/>
                              </w:rPr>
                              <w:t>resources</w:t>
                            </w:r>
                            <w:r>
                              <w:rPr>
                                <w:rFonts w:cs="Arial"/>
                                <w:iCs/>
                                <w:color w:val="000000"/>
                                <w:sz w:val="12"/>
                                <w:szCs w:val="12"/>
                              </w:rPr>
                              <w:t xml:space="preserve">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Pr>
                                <w:rFonts w:cs="Arial"/>
                                <w:iCs/>
                                <w:color w:val="000000"/>
                                <w:sz w:val="12"/>
                                <w:szCs w:val="12"/>
                              </w:rPr>
                              <w:br/>
                            </w:r>
                            <w:r>
                              <w:rPr>
                                <w:rFonts w:cs="Arial"/>
                                <w:color w:val="000000"/>
                                <w:sz w:val="12"/>
                                <w:szCs w:val="12"/>
                              </w:rPr>
                              <w:t>© OCR 2017 - This resource may be freely copied and distributed, as long as the OCR logo and this message remain intact and OCR is acknowledged as the originator of this work.</w:t>
                            </w:r>
                          </w:p>
                          <w:p w14:paraId="7DE1BC22" w14:textId="77777777" w:rsidR="009B189A" w:rsidRDefault="009B189A" w:rsidP="009B189A">
                            <w:pPr>
                              <w:spacing w:after="0" w:line="360" w:lineRule="auto"/>
                              <w:rPr>
                                <w:rFonts w:cs="Arial"/>
                                <w:color w:val="000000"/>
                                <w:sz w:val="12"/>
                                <w:szCs w:val="12"/>
                              </w:rPr>
                            </w:pPr>
                            <w:r>
                              <w:rPr>
                                <w:rFonts w:cs="Arial"/>
                                <w:color w:val="000000"/>
                                <w:sz w:val="12"/>
                                <w:szCs w:val="12"/>
                              </w:rPr>
                              <w:t>OCR acknowledges the use of the following content: n/a</w:t>
                            </w:r>
                          </w:p>
                          <w:p w14:paraId="57FB5A36" w14:textId="77777777" w:rsidR="009B189A" w:rsidRPr="00580794" w:rsidRDefault="009B189A" w:rsidP="009B189A">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580794">
                              <w:rPr>
                                <w:rFonts w:cs="Arial"/>
                                <w:color w:val="000000"/>
                                <w:sz w:val="12"/>
                                <w:szCs w:val="12"/>
                                <w:lang w:eastAsia="en-GB"/>
                              </w:rPr>
                              <w:t xml:space="preserve">Please get in touch if you want to discuss the accessibility of resources we offer to support delivery of our qualifications: </w:t>
                            </w:r>
                            <w:hyperlink r:id="rId10"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xmlns:w15="http://schemas.microsoft.com/office/word/2012/wordml">
            <w:pict>
              <v:roundrect w14:anchorId="5D732153" id="AutoShape 18"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7.65pt;margin-top:161.05pt;width:504.7pt;height:9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" fillcolor="#d8d8d8" stroked="f" strokeweight="2pt">
                <v:textbox>
                  <w:txbxContent>
                    <w:p w14:paraId="6A23E3A9" w14:textId="77777777" w:rsidR="009B189A" w:rsidRDefault="009B189A" w:rsidP="009B189A">
                      <w:pPr>
                        <w:spacing w:after="0" w:line="360" w:lineRule="auto"/>
                        <w:rPr>
                          <w:rFonts w:cs="Arial"/>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Pr>
                          <w:rFonts w:cs="Arial"/>
                          <w:iCs/>
                          <w:color w:val="000000"/>
                          <w:sz w:val="12"/>
                          <w:szCs w:val="12"/>
                        </w:rPr>
                        <w:t xml:space="preserve">OCR’s </w:t>
                      </w:r>
                      <w:r w:rsidRPr="005D2D46">
                        <w:rPr>
                          <w:rStyle w:val="smallprintChar"/>
                          <w:rFonts w:eastAsia="Calibri"/>
                        </w:rPr>
                        <w:t>resources</w:t>
                      </w:r>
                      <w:r>
                        <w:rPr>
                          <w:rFonts w:cs="Arial"/>
                          <w:iCs/>
                          <w:color w:val="000000"/>
                          <w:sz w:val="12"/>
                          <w:szCs w:val="12"/>
                        </w:rPr>
                        <w:t xml:space="preserve"> are provided to support the teaching of OCR specifications, but in no </w:t>
                      </w:r>
                      <w:proofErr w:type="gramStart"/>
                      <w:r>
                        <w:rPr>
                          <w:rFonts w:cs="Arial"/>
                          <w:iCs/>
                          <w:color w:val="000000"/>
                          <w:sz w:val="12"/>
                          <w:szCs w:val="12"/>
                        </w:rPr>
                        <w:t>way</w:t>
                      </w:r>
                      <w:proofErr w:type="gramEnd"/>
                      <w:r>
                        <w:rPr>
                          <w:rFonts w:cs="Arial"/>
                          <w:iCs/>
                          <w:color w:val="000000"/>
                          <w:sz w:val="12"/>
                          <w:szCs w:val="12"/>
                        </w:rPr>
                        <w:t xml:space="preserve">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Pr>
                          <w:rFonts w:cs="Arial"/>
                          <w:iCs/>
                          <w:color w:val="000000"/>
                          <w:sz w:val="12"/>
                          <w:szCs w:val="12"/>
                        </w:rPr>
                        <w:br/>
                      </w:r>
                      <w:r>
                        <w:rPr>
                          <w:rFonts w:cs="Arial"/>
                          <w:color w:val="000000"/>
                          <w:sz w:val="12"/>
                          <w:szCs w:val="12"/>
                        </w:rPr>
                        <w:t>© OCR 2017 - This resource may be freely copied and distributed, as long as the OCR logo and this message remain intact and OCR is acknowledged as the originator of this work.</w:t>
                      </w:r>
                    </w:p>
                    <w:p w14:paraId="7DE1BC22" w14:textId="77777777" w:rsidR="009B189A" w:rsidRDefault="009B189A" w:rsidP="009B189A">
                      <w:pPr>
                        <w:spacing w:after="0" w:line="360" w:lineRule="auto"/>
                        <w:rPr>
                          <w:rFonts w:cs="Arial"/>
                          <w:color w:val="000000"/>
                          <w:sz w:val="12"/>
                          <w:szCs w:val="12"/>
                        </w:rPr>
                      </w:pPr>
                      <w:r>
                        <w:rPr>
                          <w:rFonts w:cs="Arial"/>
                          <w:color w:val="000000"/>
                          <w:sz w:val="12"/>
                          <w:szCs w:val="12"/>
                        </w:rPr>
                        <w:t>OCR acknowledges the use of the following content: n/a</w:t>
                      </w:r>
                    </w:p>
                    <w:p w14:paraId="57FB5A36" w14:textId="77777777" w:rsidR="009B189A" w:rsidRPr="00580794" w:rsidRDefault="009B189A" w:rsidP="009B189A">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580794">
                        <w:rPr>
                          <w:rFonts w:cs="Arial"/>
                          <w:color w:val="000000"/>
                          <w:sz w:val="12"/>
                          <w:szCs w:val="12"/>
                          <w:lang w:eastAsia="en-GB"/>
                        </w:rPr>
                        <w:t xml:space="preserve">Please get in touch if you want to discuss the accessibility of resources we offer to support delivery of our qualifications: </w:t>
                      </w:r>
                      <w:hyperlink r:id="rId14" w:history="1">
                        <w:r>
                          <w:rPr>
                            <w:rStyle w:val="Hyperlink"/>
                            <w:rFonts w:cs="Arial"/>
                            <w:sz w:val="12"/>
                            <w:szCs w:val="12"/>
                            <w:lang w:eastAsia="en-GB"/>
                          </w:rPr>
                          <w:t>resources.feedback@ocr.org.uk</w:t>
                        </w:r>
                      </w:hyperlink>
                    </w:p>
                  </w:txbxContent>
                </v:textbox>
              </v:roundrect>
            </w:pict>
          </mc:Fallback>
        </mc:AlternateContent>
      </w:r>
    </w:p>
    <w:sectPr w:rsidR="00551083" w:rsidSect="00C478A6">
      <w:headerReference w:type="default" r:id="rId15"/>
      <w:footerReference w:type="default" r:id="rId16"/>
      <w:pgSz w:w="11906" w:h="16838"/>
      <w:pgMar w:top="1440" w:right="991" w:bottom="144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EC7AD3" w14:textId="77777777" w:rsidR="00ED66B6" w:rsidRDefault="00ED66B6" w:rsidP="00D21C92">
      <w:r>
        <w:separator/>
      </w:r>
    </w:p>
  </w:endnote>
  <w:endnote w:type="continuationSeparator" w:id="0">
    <w:p w14:paraId="5CF7BF67" w14:textId="77777777" w:rsidR="00ED66B6" w:rsidRDefault="00ED66B6"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C358C" w14:textId="77777777" w:rsidR="007C252D" w:rsidRDefault="007C252D" w:rsidP="007C252D">
    <w:pPr>
      <w:pStyle w:val="Footer"/>
      <w:tabs>
        <w:tab w:val="clear" w:pos="9026"/>
        <w:tab w:val="left" w:pos="8647"/>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32CB5">
      <w:rPr>
        <w:noProof/>
        <w:sz w:val="16"/>
        <w:szCs w:val="16"/>
      </w:rPr>
      <w:t>1</w:t>
    </w:r>
    <w:r w:rsidRPr="00937FF3">
      <w:rPr>
        <w:noProof/>
        <w:sz w:val="16"/>
        <w:szCs w:val="16"/>
      </w:rPr>
      <w:fldChar w:fldCharType="end"/>
    </w:r>
    <w:r>
      <w:rPr>
        <w:noProof/>
        <w:sz w:val="16"/>
        <w:szCs w:val="16"/>
      </w:rPr>
      <w:tab/>
    </w:r>
    <w:r w:rsidRPr="00937FF3">
      <w:rPr>
        <w:noProof/>
        <w:sz w:val="16"/>
        <w:szCs w:val="16"/>
      </w:rPr>
      <w:t>© OCR 201</w:t>
    </w:r>
    <w:r>
      <w:rPr>
        <w:noProof/>
        <w:sz w:val="16"/>
        <w:szCs w:val="16"/>
      </w:rPr>
      <w:t>7</w:t>
    </w:r>
  </w:p>
  <w:p w14:paraId="013EFB07" w14:textId="25423FDC" w:rsidR="007C252D" w:rsidRPr="009B189A" w:rsidRDefault="009B189A" w:rsidP="007C252D">
    <w:pPr>
      <w:pStyle w:val="Footer"/>
      <w:tabs>
        <w:tab w:val="clear" w:pos="9026"/>
      </w:tabs>
      <w:rPr>
        <w:rFonts w:eastAsia="Arial" w:cs="Arial"/>
        <w:b/>
        <w:sz w:val="16"/>
        <w:szCs w:val="16"/>
      </w:rPr>
    </w:pPr>
    <w:r w:rsidRPr="009B189A">
      <w:rPr>
        <w:b/>
        <w:sz w:val="16"/>
        <w:szCs w:val="16"/>
      </w:rPr>
      <w:t>Component 2: Section A: Contemporary British and US Film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7C57B0" w14:textId="77777777" w:rsidR="00C478A6" w:rsidRDefault="00C478A6" w:rsidP="00C478A6">
    <w:pPr>
      <w:pStyle w:val="Footer"/>
      <w:tabs>
        <w:tab w:val="clear" w:pos="9026"/>
        <w:tab w:val="left" w:pos="8647"/>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32CB5">
      <w:rPr>
        <w:noProof/>
        <w:sz w:val="16"/>
        <w:szCs w:val="16"/>
      </w:rPr>
      <w:t>2</w:t>
    </w:r>
    <w:r w:rsidRPr="00937FF3">
      <w:rPr>
        <w:noProof/>
        <w:sz w:val="16"/>
        <w:szCs w:val="16"/>
      </w:rPr>
      <w:fldChar w:fldCharType="end"/>
    </w:r>
    <w:r>
      <w:rPr>
        <w:noProof/>
        <w:sz w:val="16"/>
        <w:szCs w:val="16"/>
      </w:rPr>
      <w:tab/>
      <w:t>© OCR 2017</w:t>
    </w:r>
  </w:p>
  <w:p w14:paraId="453CBE4C" w14:textId="77777777" w:rsidR="007C252D" w:rsidRPr="007C252D" w:rsidRDefault="007C252D" w:rsidP="007C252D">
    <w:pPr>
      <w:pStyle w:val="Footer"/>
      <w:tabs>
        <w:tab w:val="clear" w:pos="9026"/>
      </w:tabs>
      <w:rPr>
        <w:rFonts w:eastAsia="Arial" w:cs="Arial"/>
        <w:b/>
        <w:sz w:val="16"/>
        <w:szCs w:val="16"/>
      </w:rPr>
    </w:pPr>
    <w:r>
      <w:rPr>
        <w:rFonts w:eastAsia="Arial" w:cs="Arial"/>
        <w:b/>
        <w:sz w:val="16"/>
        <w:szCs w:val="16"/>
      </w:rPr>
      <w:t>Delivery guide Title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D4541" w14:textId="77777777" w:rsidR="00ED66B6" w:rsidRDefault="00ED66B6" w:rsidP="00D21C92">
      <w:r>
        <w:separator/>
      </w:r>
    </w:p>
  </w:footnote>
  <w:footnote w:type="continuationSeparator" w:id="0">
    <w:p w14:paraId="1FAE95E2" w14:textId="77777777" w:rsidR="00ED66B6" w:rsidRDefault="00ED66B6"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47AA00" w14:textId="2BCF782B" w:rsidR="001F1BC6" w:rsidRDefault="007C252D" w:rsidP="00D21C92">
    <w:pPr>
      <w:pStyle w:val="Header"/>
    </w:pPr>
    <w:r>
      <w:rPr>
        <w:noProof/>
        <w:lang w:eastAsia="en-GB"/>
      </w:rPr>
      <w:drawing>
        <wp:anchor distT="0" distB="0" distL="114300" distR="114300" simplePos="0" relativeHeight="251659264" behindDoc="0" locked="0" layoutInCell="1" allowOverlap="1" wp14:anchorId="715AAD4D" wp14:editId="5141DDFD">
          <wp:simplePos x="0" y="0"/>
          <wp:positionH relativeFrom="column">
            <wp:posOffset>-789940</wp:posOffset>
          </wp:positionH>
          <wp:positionV relativeFrom="paragraph">
            <wp:posOffset>-360045</wp:posOffset>
          </wp:positionV>
          <wp:extent cx="7647940" cy="1091565"/>
          <wp:effectExtent l="0" t="0" r="0" b="635"/>
          <wp:wrapTight wrapText="bothSides">
            <wp:wrapPolygon edited="0">
              <wp:start x="0" y="0"/>
              <wp:lineTo x="0" y="21110"/>
              <wp:lineTo x="21521" y="21110"/>
              <wp:lineTo x="21521" y="0"/>
              <wp:lineTo x="0" y="0"/>
            </wp:wrapPolygon>
          </wp:wrapTight>
          <wp:docPr id="2" name="Picture 2" title="A Level Film Studies Delivery Guide (Learner 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evel_Film_Studies_Digi_port_front.jpg"/>
                  <pic:cNvPicPr/>
                </pic:nvPicPr>
                <pic:blipFill>
                  <a:blip r:embed="rId1">
                    <a:extLst>
                      <a:ext uri="{28A0092B-C50C-407E-A947-70E740481C1C}">
                        <a14:useLocalDpi xmlns:a14="http://schemas.microsoft.com/office/drawing/2010/main" val="0"/>
                      </a:ext>
                    </a:extLst>
                  </a:blip>
                  <a:stretch>
                    <a:fillRect/>
                  </a:stretch>
                </pic:blipFill>
                <pic:spPr>
                  <a:xfrm>
                    <a:off x="0" y="0"/>
                    <a:ext cx="7647940" cy="10915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37C58" w14:textId="77777777" w:rsidR="001F1BC6" w:rsidRDefault="007C252D" w:rsidP="00D21C92">
    <w:pPr>
      <w:pStyle w:val="Header"/>
    </w:pPr>
    <w:r>
      <w:rPr>
        <w:noProof/>
        <w:lang w:eastAsia="en-GB"/>
      </w:rPr>
      <w:drawing>
        <wp:anchor distT="0" distB="0" distL="114300" distR="114300" simplePos="0" relativeHeight="251661312" behindDoc="0" locked="0" layoutInCell="1" allowOverlap="1" wp14:anchorId="19B8716A" wp14:editId="53E3BE2E">
          <wp:simplePos x="0" y="0"/>
          <wp:positionH relativeFrom="column">
            <wp:posOffset>-678180</wp:posOffset>
          </wp:positionH>
          <wp:positionV relativeFrom="paragraph">
            <wp:posOffset>-360045</wp:posOffset>
          </wp:positionV>
          <wp:extent cx="7535545" cy="1075055"/>
          <wp:effectExtent l="0" t="0" r="8255" b="0"/>
          <wp:wrapTight wrapText="bothSides">
            <wp:wrapPolygon edited="0">
              <wp:start x="0" y="0"/>
              <wp:lineTo x="0" y="20924"/>
              <wp:lineTo x="21551" y="20924"/>
              <wp:lineTo x="21551" y="0"/>
              <wp:lineTo x="0" y="0"/>
            </wp:wrapPolygon>
          </wp:wrapTight>
          <wp:docPr id="4" name="Picture 4" title="A Level Film Studies Delivery Guide (Learner 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Level_Film_Studies_Digi_port_inner.jpg"/>
                  <pic:cNvPicPr/>
                </pic:nvPicPr>
                <pic:blipFill>
                  <a:blip r:embed="rId1">
                    <a:extLst>
                      <a:ext uri="{28A0092B-C50C-407E-A947-70E740481C1C}">
                        <a14:useLocalDpi xmlns:a14="http://schemas.microsoft.com/office/drawing/2010/main" val="0"/>
                      </a:ext>
                    </a:extLst>
                  </a:blip>
                  <a:stretch>
                    <a:fillRect/>
                  </a:stretch>
                </pic:blipFill>
                <pic:spPr>
                  <a:xfrm>
                    <a:off x="0" y="0"/>
                    <a:ext cx="7535545" cy="107505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FDA839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C222271"/>
    <w:multiLevelType w:val="hybridMultilevel"/>
    <w:tmpl w:val="96ACCDEA"/>
    <w:lvl w:ilvl="0" w:tplc="3A760BA4">
      <w:start w:val="1"/>
      <w:numFmt w:val="bullet"/>
      <w:pStyle w:val="MediumGrid2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2F1BBD"/>
    <w:multiLevelType w:val="hybridMultilevel"/>
    <w:tmpl w:val="C86C5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C5C66"/>
    <w:multiLevelType w:val="hybridMultilevel"/>
    <w:tmpl w:val="1670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8F498C"/>
    <w:multiLevelType w:val="hybridMultilevel"/>
    <w:tmpl w:val="6F4AC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3A04CC"/>
    <w:multiLevelType w:val="hybridMultilevel"/>
    <w:tmpl w:val="455C5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402201A"/>
    <w:multiLevelType w:val="hybridMultilevel"/>
    <w:tmpl w:val="5D4EE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BDB7BEE"/>
    <w:multiLevelType w:val="hybridMultilevel"/>
    <w:tmpl w:val="64720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7"/>
  </w:num>
  <w:num w:numId="5">
    <w:abstractNumId w:val="3"/>
  </w:num>
  <w:num w:numId="6">
    <w:abstractNumId w:val="8"/>
  </w:num>
  <w:num w:numId="7">
    <w:abstractNumId w:val="2"/>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34859"/>
    <w:rsid w:val="000567C0"/>
    <w:rsid w:val="00064CD4"/>
    <w:rsid w:val="0007599A"/>
    <w:rsid w:val="000805C5"/>
    <w:rsid w:val="00080E1B"/>
    <w:rsid w:val="00083F03"/>
    <w:rsid w:val="00085224"/>
    <w:rsid w:val="00086BBD"/>
    <w:rsid w:val="000A15FF"/>
    <w:rsid w:val="000D404F"/>
    <w:rsid w:val="00122137"/>
    <w:rsid w:val="001261BC"/>
    <w:rsid w:val="0016654B"/>
    <w:rsid w:val="001B2783"/>
    <w:rsid w:val="001C3787"/>
    <w:rsid w:val="001F1BC6"/>
    <w:rsid w:val="002022CD"/>
    <w:rsid w:val="00204D4D"/>
    <w:rsid w:val="00217C24"/>
    <w:rsid w:val="00265900"/>
    <w:rsid w:val="002804A7"/>
    <w:rsid w:val="002B5830"/>
    <w:rsid w:val="002D6A1F"/>
    <w:rsid w:val="002F2E8A"/>
    <w:rsid w:val="00322381"/>
    <w:rsid w:val="00332731"/>
    <w:rsid w:val="003340DE"/>
    <w:rsid w:val="00334553"/>
    <w:rsid w:val="00337B68"/>
    <w:rsid w:val="00351C83"/>
    <w:rsid w:val="00360AE7"/>
    <w:rsid w:val="00365C8E"/>
    <w:rsid w:val="003676B4"/>
    <w:rsid w:val="00384833"/>
    <w:rsid w:val="00463032"/>
    <w:rsid w:val="004E1AFD"/>
    <w:rsid w:val="004F411A"/>
    <w:rsid w:val="00513A44"/>
    <w:rsid w:val="00551083"/>
    <w:rsid w:val="0058629A"/>
    <w:rsid w:val="005960DC"/>
    <w:rsid w:val="005970AA"/>
    <w:rsid w:val="005B2ABD"/>
    <w:rsid w:val="00600E8B"/>
    <w:rsid w:val="00651168"/>
    <w:rsid w:val="006552B3"/>
    <w:rsid w:val="006B143C"/>
    <w:rsid w:val="006D1D6F"/>
    <w:rsid w:val="007252E0"/>
    <w:rsid w:val="00727A14"/>
    <w:rsid w:val="00794BE4"/>
    <w:rsid w:val="007953E7"/>
    <w:rsid w:val="007B5519"/>
    <w:rsid w:val="007B7752"/>
    <w:rsid w:val="007C252D"/>
    <w:rsid w:val="008064FC"/>
    <w:rsid w:val="008324A5"/>
    <w:rsid w:val="0084029E"/>
    <w:rsid w:val="00863C0D"/>
    <w:rsid w:val="00873358"/>
    <w:rsid w:val="00885824"/>
    <w:rsid w:val="008A1151"/>
    <w:rsid w:val="008D7F7D"/>
    <w:rsid w:val="008E6607"/>
    <w:rsid w:val="00906EBD"/>
    <w:rsid w:val="00914464"/>
    <w:rsid w:val="0093030F"/>
    <w:rsid w:val="00937FF3"/>
    <w:rsid w:val="0095139A"/>
    <w:rsid w:val="009803AC"/>
    <w:rsid w:val="00983678"/>
    <w:rsid w:val="009A013A"/>
    <w:rsid w:val="009A334A"/>
    <w:rsid w:val="009A5976"/>
    <w:rsid w:val="009B0118"/>
    <w:rsid w:val="009B189A"/>
    <w:rsid w:val="009D1D8A"/>
    <w:rsid w:val="009D271C"/>
    <w:rsid w:val="00A2244B"/>
    <w:rsid w:val="00A422E6"/>
    <w:rsid w:val="00AB7712"/>
    <w:rsid w:val="00B85E0C"/>
    <w:rsid w:val="00C231CB"/>
    <w:rsid w:val="00C478A6"/>
    <w:rsid w:val="00C64771"/>
    <w:rsid w:val="00CA4837"/>
    <w:rsid w:val="00CF67E2"/>
    <w:rsid w:val="00D04336"/>
    <w:rsid w:val="00D21C92"/>
    <w:rsid w:val="00D36F89"/>
    <w:rsid w:val="00D802E6"/>
    <w:rsid w:val="00DE2A29"/>
    <w:rsid w:val="00DF1EC4"/>
    <w:rsid w:val="00E13F14"/>
    <w:rsid w:val="00E208FD"/>
    <w:rsid w:val="00E26AF8"/>
    <w:rsid w:val="00E301AF"/>
    <w:rsid w:val="00E6397E"/>
    <w:rsid w:val="00E67252"/>
    <w:rsid w:val="00ED66B6"/>
    <w:rsid w:val="00EF182C"/>
    <w:rsid w:val="00F165E9"/>
    <w:rsid w:val="00F32CB5"/>
    <w:rsid w:val="00F447AA"/>
    <w:rsid w:val="00F53ED3"/>
    <w:rsid w:val="00F61ACE"/>
    <w:rsid w:val="00FB023B"/>
    <w:rsid w:val="00FB2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EB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val="en-GB"/>
    </w:rPr>
  </w:style>
  <w:style w:type="paragraph" w:styleId="Heading1">
    <w:name w:val="heading 1"/>
    <w:basedOn w:val="Normal"/>
    <w:next w:val="Normal"/>
    <w:link w:val="Heading1Char"/>
    <w:uiPriority w:val="9"/>
    <w:qFormat/>
    <w:rsid w:val="00080E1B"/>
    <w:pPr>
      <w:keepNext/>
      <w:keepLines/>
      <w:spacing w:before="480" w:after="0"/>
      <w:outlineLvl w:val="0"/>
    </w:pPr>
    <w:rPr>
      <w:rFonts w:eastAsia="Times New Roman"/>
      <w:b/>
      <w:bCs/>
      <w:color w:val="00654E"/>
      <w:sz w:val="40"/>
      <w:szCs w:val="28"/>
    </w:rPr>
  </w:style>
  <w:style w:type="paragraph" w:styleId="Heading2">
    <w:name w:val="heading 2"/>
    <w:basedOn w:val="Normal"/>
    <w:next w:val="Normal"/>
    <w:link w:val="Heading2Char"/>
    <w:uiPriority w:val="9"/>
    <w:qFormat/>
    <w:rsid w:val="00D21C92"/>
    <w:pPr>
      <w:keepNext/>
      <w:keepLines/>
      <w:spacing w:before="200" w:after="0"/>
      <w:outlineLvl w:val="1"/>
    </w:pPr>
    <w:rPr>
      <w:rFonts w:eastAsia="Times New Roman"/>
      <w:b/>
      <w:bCs/>
      <w:i/>
      <w:color w:val="000000"/>
      <w:sz w:val="40"/>
      <w:szCs w:val="26"/>
    </w:rPr>
  </w:style>
  <w:style w:type="paragraph" w:styleId="Heading3">
    <w:name w:val="heading 3"/>
    <w:basedOn w:val="Normal"/>
    <w:next w:val="Normal"/>
    <w:link w:val="Heading3Char"/>
    <w:uiPriority w:val="9"/>
    <w:qFormat/>
    <w:rsid w:val="00C478A6"/>
    <w:pPr>
      <w:keepNext/>
      <w:keepLines/>
      <w:spacing w:before="200" w:after="0" w:line="360" w:lineRule="auto"/>
      <w:outlineLvl w:val="2"/>
    </w:pPr>
    <w:rPr>
      <w:rFonts w:eastAsia="Times New Roman"/>
      <w:b/>
      <w:bCs/>
      <w:color w:val="00654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080E1B"/>
    <w:rPr>
      <w:rFonts w:ascii="Arial" w:eastAsia="Times New Roman" w:hAnsi="Arial"/>
      <w:b/>
      <w:bCs/>
      <w:color w:val="00654E"/>
      <w:sz w:val="40"/>
      <w:szCs w:val="28"/>
      <w:lang w:val="en-GB"/>
    </w:rPr>
  </w:style>
  <w:style w:type="character" w:customStyle="1" w:styleId="Heading2Char">
    <w:name w:val="Heading 2 Char"/>
    <w:link w:val="Heading2"/>
    <w:uiPriority w:val="9"/>
    <w:rsid w:val="00D21C92"/>
    <w:rPr>
      <w:rFonts w:ascii="Arial" w:eastAsia="Times New Roman" w:hAnsi="Arial" w:cs="Times New Roman"/>
      <w:b/>
      <w:bCs/>
      <w:i/>
      <w:color w:val="000000"/>
      <w:sz w:val="40"/>
      <w:szCs w:val="26"/>
    </w:rPr>
  </w:style>
  <w:style w:type="paragraph" w:customStyle="1" w:styleId="ColorfulList-Accent11">
    <w:name w:val="Colorful List - Accent 11"/>
    <w:basedOn w:val="Normal"/>
    <w:uiPriority w:val="34"/>
    <w:rsid w:val="00D21C92"/>
    <w:pPr>
      <w:ind w:left="720"/>
      <w:contextualSpacing/>
    </w:pPr>
  </w:style>
  <w:style w:type="paragraph" w:customStyle="1" w:styleId="MediumGrid21">
    <w:name w:val="Medium Grid 21"/>
    <w:aliases w:val="Body bullets"/>
    <w:basedOn w:val="ColorfulList-Accent11"/>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C478A6"/>
    <w:rPr>
      <w:rFonts w:ascii="Arial" w:eastAsia="Times New Roman" w:hAnsi="Arial"/>
      <w:b/>
      <w:bCs/>
      <w:color w:val="00654E"/>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paragraph" w:styleId="ListParagraph">
    <w:name w:val="List Paragraph"/>
    <w:basedOn w:val="Normal"/>
    <w:uiPriority w:val="34"/>
    <w:qFormat/>
    <w:rsid w:val="00B85E0C"/>
    <w:pPr>
      <w:spacing w:after="0"/>
      <w:ind w:left="720"/>
      <w:contextualSpacing/>
    </w:pPr>
    <w:rPr>
      <w:rFonts w:eastAsia="Arial" w:cs="Arial"/>
      <w:color w:val="00000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val="en-GB"/>
    </w:rPr>
  </w:style>
  <w:style w:type="paragraph" w:styleId="Heading1">
    <w:name w:val="heading 1"/>
    <w:basedOn w:val="Normal"/>
    <w:next w:val="Normal"/>
    <w:link w:val="Heading1Char"/>
    <w:uiPriority w:val="9"/>
    <w:qFormat/>
    <w:rsid w:val="00080E1B"/>
    <w:pPr>
      <w:keepNext/>
      <w:keepLines/>
      <w:spacing w:before="480" w:after="0"/>
      <w:outlineLvl w:val="0"/>
    </w:pPr>
    <w:rPr>
      <w:rFonts w:eastAsia="Times New Roman"/>
      <w:b/>
      <w:bCs/>
      <w:color w:val="00654E"/>
      <w:sz w:val="40"/>
      <w:szCs w:val="28"/>
    </w:rPr>
  </w:style>
  <w:style w:type="paragraph" w:styleId="Heading2">
    <w:name w:val="heading 2"/>
    <w:basedOn w:val="Normal"/>
    <w:next w:val="Normal"/>
    <w:link w:val="Heading2Char"/>
    <w:uiPriority w:val="9"/>
    <w:qFormat/>
    <w:rsid w:val="00D21C92"/>
    <w:pPr>
      <w:keepNext/>
      <w:keepLines/>
      <w:spacing w:before="200" w:after="0"/>
      <w:outlineLvl w:val="1"/>
    </w:pPr>
    <w:rPr>
      <w:rFonts w:eastAsia="Times New Roman"/>
      <w:b/>
      <w:bCs/>
      <w:i/>
      <w:color w:val="000000"/>
      <w:sz w:val="40"/>
      <w:szCs w:val="26"/>
    </w:rPr>
  </w:style>
  <w:style w:type="paragraph" w:styleId="Heading3">
    <w:name w:val="heading 3"/>
    <w:basedOn w:val="Normal"/>
    <w:next w:val="Normal"/>
    <w:link w:val="Heading3Char"/>
    <w:uiPriority w:val="9"/>
    <w:qFormat/>
    <w:rsid w:val="00C478A6"/>
    <w:pPr>
      <w:keepNext/>
      <w:keepLines/>
      <w:spacing w:before="200" w:after="0" w:line="360" w:lineRule="auto"/>
      <w:outlineLvl w:val="2"/>
    </w:pPr>
    <w:rPr>
      <w:rFonts w:eastAsia="Times New Roman"/>
      <w:b/>
      <w:bCs/>
      <w:color w:val="00654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080E1B"/>
    <w:rPr>
      <w:rFonts w:ascii="Arial" w:eastAsia="Times New Roman" w:hAnsi="Arial"/>
      <w:b/>
      <w:bCs/>
      <w:color w:val="00654E"/>
      <w:sz w:val="40"/>
      <w:szCs w:val="28"/>
      <w:lang w:val="en-GB"/>
    </w:rPr>
  </w:style>
  <w:style w:type="character" w:customStyle="1" w:styleId="Heading2Char">
    <w:name w:val="Heading 2 Char"/>
    <w:link w:val="Heading2"/>
    <w:uiPriority w:val="9"/>
    <w:rsid w:val="00D21C92"/>
    <w:rPr>
      <w:rFonts w:ascii="Arial" w:eastAsia="Times New Roman" w:hAnsi="Arial" w:cs="Times New Roman"/>
      <w:b/>
      <w:bCs/>
      <w:i/>
      <w:color w:val="000000"/>
      <w:sz w:val="40"/>
      <w:szCs w:val="26"/>
    </w:rPr>
  </w:style>
  <w:style w:type="paragraph" w:customStyle="1" w:styleId="ColorfulList-Accent11">
    <w:name w:val="Colorful List - Accent 11"/>
    <w:basedOn w:val="Normal"/>
    <w:uiPriority w:val="34"/>
    <w:rsid w:val="00D21C92"/>
    <w:pPr>
      <w:ind w:left="720"/>
      <w:contextualSpacing/>
    </w:pPr>
  </w:style>
  <w:style w:type="paragraph" w:customStyle="1" w:styleId="MediumGrid21">
    <w:name w:val="Medium Grid 21"/>
    <w:aliases w:val="Body bullets"/>
    <w:basedOn w:val="ColorfulList-Accent11"/>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C478A6"/>
    <w:rPr>
      <w:rFonts w:ascii="Arial" w:eastAsia="Times New Roman" w:hAnsi="Arial"/>
      <w:b/>
      <w:bCs/>
      <w:color w:val="00654E"/>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paragraph" w:styleId="ListParagraph">
    <w:name w:val="List Paragraph"/>
    <w:basedOn w:val="Normal"/>
    <w:uiPriority w:val="34"/>
    <w:qFormat/>
    <w:rsid w:val="00B85E0C"/>
    <w:pPr>
      <w:spacing w:after="0"/>
      <w:ind w:left="720"/>
      <w:contextualSpacing/>
    </w:pPr>
    <w:rPr>
      <w:rFonts w:eastAsia="Arial" w:cs="Arial"/>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resources.feedback@ocr.org.u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OCR A Level Film Studies teacher resource - The Hunger Games</vt:lpstr>
    </vt:vector>
  </TitlesOfParts>
  <Company>Cambridge Assessment</Company>
  <LinksUpToDate>false</LinksUpToDate>
  <CharactersWithSpaces>2120</CharactersWithSpaces>
  <SharedDoc>false</SharedDoc>
  <HyperlinkBase/>
  <HLinks>
    <vt:vector size="18" baseType="variant">
      <vt:variant>
        <vt:i4>4063250</vt:i4>
      </vt:variant>
      <vt:variant>
        <vt:i4>0</vt:i4>
      </vt:variant>
      <vt:variant>
        <vt:i4>0</vt:i4>
      </vt:variant>
      <vt:variant>
        <vt:i4>5</vt:i4>
      </vt:variant>
      <vt:variant>
        <vt:lpwstr>mailto:resources.feedback@ocr.org.uk</vt:lpwstr>
      </vt:variant>
      <vt:variant>
        <vt:lpwstr/>
      </vt:variant>
      <vt:variant>
        <vt:i4>6357068</vt:i4>
      </vt:variant>
      <vt:variant>
        <vt:i4>-1</vt:i4>
      </vt:variant>
      <vt:variant>
        <vt:i4>2108</vt:i4>
      </vt:variant>
      <vt:variant>
        <vt:i4>1</vt:i4>
      </vt:variant>
      <vt:variant>
        <vt:lpwstr>ASA_Film_Studies_LR_port_front</vt:lpwstr>
      </vt:variant>
      <vt:variant>
        <vt:lpwstr/>
      </vt:variant>
      <vt:variant>
        <vt:i4>6881371</vt:i4>
      </vt:variant>
      <vt:variant>
        <vt:i4>-1</vt:i4>
      </vt:variant>
      <vt:variant>
        <vt:i4>2109</vt:i4>
      </vt:variant>
      <vt:variant>
        <vt:i4>1</vt:i4>
      </vt:variant>
      <vt:variant>
        <vt:lpwstr>ASA_Film_Studies_LR_port_inner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A Level Film Studies teacher resource - The Hunger Games</dc:title>
  <dc:creator>OCR</dc:creator>
  <cp:keywords>A Level; Film Studies; Resource</cp:keywords>
  <cp:lastModifiedBy>Rachael Carlton</cp:lastModifiedBy>
  <cp:revision>2</cp:revision>
  <dcterms:created xsi:type="dcterms:W3CDTF">2017-08-03T09:40:00Z</dcterms:created>
  <dcterms:modified xsi:type="dcterms:W3CDTF">2017-08-03T09:40:00Z</dcterms:modified>
</cp:coreProperties>
</file>