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774B" w14:textId="77777777" w:rsidR="008E6607" w:rsidRPr="001B6EE4" w:rsidRDefault="00BD2FAB" w:rsidP="00AC74C7">
      <w:pPr>
        <w:pStyle w:val="Heading1"/>
        <w:ind w:left="0"/>
      </w:pPr>
      <w:bookmarkStart w:id="0" w:name="_GoBack"/>
      <w:bookmarkEnd w:id="0"/>
      <w:r w:rsidRPr="00A84B63">
        <w:t>Learner</w:t>
      </w:r>
      <w:r>
        <w:t xml:space="preserve"> Resource </w:t>
      </w:r>
      <w:r w:rsidR="00F86053">
        <w:t>3.</w:t>
      </w:r>
      <w:r w:rsidR="00F007A9">
        <w:t>2</w:t>
      </w:r>
    </w:p>
    <w:p w14:paraId="47FD365D" w14:textId="77777777" w:rsidR="0092061D" w:rsidRPr="0092061D" w:rsidRDefault="0092061D" w:rsidP="00AC74C7">
      <w:pPr>
        <w:pStyle w:val="Heading1"/>
        <w:ind w:left="0"/>
        <w:rPr>
          <w:lang w:val="en"/>
        </w:rPr>
      </w:pPr>
      <w:r w:rsidRPr="0092061D">
        <w:rPr>
          <w:lang w:val="en"/>
        </w:rPr>
        <w:t xml:space="preserve">Spotlight on: </w:t>
      </w:r>
      <w:r w:rsidR="00F86053">
        <w:rPr>
          <w:lang w:val="en"/>
        </w:rPr>
        <w:t>CHARACTER</w:t>
      </w:r>
    </w:p>
    <w:p w14:paraId="581B5783" w14:textId="06F34D44" w:rsidR="00DC0FD5" w:rsidRDefault="00DC0FD5" w:rsidP="00AC74C7">
      <w:pPr>
        <w:pStyle w:val="Heading3"/>
        <w:ind w:left="0"/>
        <w:rPr>
          <w:noProof/>
        </w:rPr>
      </w:pPr>
      <w:r>
        <w:rPr>
          <w:noProof/>
        </w:rPr>
        <w:t>Character: Extract 6</w:t>
      </w:r>
    </w:p>
    <w:p w14:paraId="3EE7D324" w14:textId="77777777" w:rsidR="00AC74C7" w:rsidRPr="00AC74C7" w:rsidRDefault="00AC74C7" w:rsidP="00AC74C7">
      <w:pPr>
        <w:ind w:left="0"/>
      </w:pPr>
    </w:p>
    <w:p w14:paraId="4C6244F3" w14:textId="4F3E18A4" w:rsidR="00AC74C7" w:rsidRDefault="00AC74C7" w:rsidP="00AC74C7">
      <w:pPr>
        <w:ind w:left="0"/>
      </w:pPr>
      <w:r>
        <w:rPr>
          <w:noProof/>
          <w:lang w:eastAsia="en-GB"/>
        </w:rPr>
        <mc:AlternateContent>
          <mc:Choice Requires="wps">
            <w:drawing>
              <wp:inline distT="0" distB="0" distL="0" distR="0" wp14:anchorId="1B73E622" wp14:editId="3C042B06">
                <wp:extent cx="6300470" cy="2520315"/>
                <wp:effectExtent l="0" t="0" r="2413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2520315"/>
                        </a:xfrm>
                        <a:prstGeom prst="rect">
                          <a:avLst/>
                        </a:prstGeom>
                        <a:solidFill>
                          <a:srgbClr val="FFFFFF"/>
                        </a:solidFill>
                        <a:ln w="19050">
                          <a:solidFill>
                            <a:srgbClr val="86BE47"/>
                          </a:solidFill>
                          <a:miter lim="800000"/>
                          <a:headEnd/>
                          <a:tailEnd/>
                        </a:ln>
                      </wps:spPr>
                      <wps:txbx>
                        <w:txbxContent>
                          <w:p w14:paraId="057278F0" w14:textId="77777777" w:rsidR="00CB64EA" w:rsidRDefault="00CB64EA" w:rsidP="00CB64EA">
                            <w:pPr>
                              <w:ind w:left="0"/>
                              <w:rPr>
                                <w:noProof/>
                              </w:rPr>
                            </w:pPr>
                            <w:r>
                              <w:rPr>
                                <w:noProof/>
                              </w:rPr>
                              <w:t xml:space="preserve">A tall man stood in the doorway. He held a crushed Stetson hat under his arm while he combed his long, black, damp hair straight back. Like the others he wore blue jeans and a short denim jacket. When he had finished combing his hair he moved into the room, and he moved with a majesty only achieved by royalty and master craftsmen. He was a jerkline skinner, the prince of the ranch, capable of driving ten, sixteen, even twenty mules with a single line to the leaders. He was capable of killing a fly on the wheeler’s butt with a bull whip without touching the mule. There was a gravity in his manner and a quiet so profound that all talk stopped when he spoke. His authority was so great that his word was taken on any subject, be it politics or love.  This was Slim, the jerkline skinner. His hatchet face was ageless. He might have been thirty-five or fifty. His ear heard more than was said to him, and his slow speech had overtones not of thought, but of understanding beyond thought. </w:t>
                            </w:r>
                          </w:p>
                          <w:p w14:paraId="1396485C" w14:textId="77777777" w:rsidR="00CB64EA" w:rsidRDefault="00CB64EA" w:rsidP="00CB64EA">
                            <w:pPr>
                              <w:ind w:left="0"/>
                              <w:jc w:val="right"/>
                              <w:rPr>
                                <w:noProof/>
                              </w:rPr>
                            </w:pPr>
                            <w:r w:rsidRPr="00DC0FD5">
                              <w:rPr>
                                <w:i/>
                                <w:noProof/>
                              </w:rPr>
                              <w:t>Of Mice and Men</w:t>
                            </w:r>
                            <w:r>
                              <w:rPr>
                                <w:noProof/>
                              </w:rPr>
                              <w:t xml:space="preserve"> - John Steinbeck</w:t>
                            </w:r>
                          </w:p>
                          <w:p w14:paraId="0762BB9B" w14:textId="77777777" w:rsidR="00CB64EA" w:rsidRPr="00E60906" w:rsidRDefault="00CB64EA" w:rsidP="00CB64EA">
                            <w:pPr>
                              <w:ind w:left="0"/>
                              <w:jc w:val="right"/>
                            </w:pPr>
                          </w:p>
                        </w:txbxContent>
                      </wps:txbx>
                      <wps:bodyPr rot="0" vert="horz" wrap="square" lIns="91440" tIns="45720" rIns="91440" bIns="45720" anchor="t" anchorCtr="0" upright="1">
                        <a:noAutofit/>
                      </wps:bodyPr>
                    </wps:wsp>
                  </a:graphicData>
                </a:graphic>
              </wp:inline>
            </w:drawing>
          </mc:Choice>
          <mc:Fallback>
            <w:pict>
              <v:shapetype w14:anchorId="1B73E622" id="_x0000_t202" coordsize="21600,21600" o:spt="202" path="m,l,21600r21600,l21600,xe">
                <v:stroke joinstyle="miter"/>
                <v:path gradientshapeok="t" o:connecttype="rect"/>
              </v:shapetype>
              <v:shape id="Text Box 2" o:spid="_x0000_s1026" type="#_x0000_t202" style="width:496.1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" strokecolor="#86be47" strokeweight="1.5pt">
                <v:textbox>
                  <w:txbxContent>
                    <w:p w14:paraId="057278F0" w14:textId="77777777" w:rsidR="00CB64EA" w:rsidRDefault="00CB64EA" w:rsidP="00CB64EA">
                      <w:pPr>
                        <w:ind w:left="0"/>
                        <w:rPr>
                          <w:noProof/>
                        </w:rPr>
                      </w:pPr>
                      <w:r>
                        <w:rPr>
                          <w:noProof/>
                        </w:rPr>
                        <w:t xml:space="preserve">A tall man stood in the doorway. He held a crushed Stetson hat under his arm while he combed his long, black, damp hair straight back. Like the others he wore blue jeans and a short denim jacket. When he had finished combing his hair he moved into the room, and he moved with a majesty only achieved by royalty and master craftsmen. He was a jerkline skinner, the prince of the ranch, capable of driving ten, sixteen, even twenty mules with a single line to the leaders. He was capable of killing a fly on the wheeler’s butt with a bull whip without touching the mule. There was a gravity in his manner and a quiet so profound that all talk stopped when he spoke. His authority was so great that his word was taken on any subject, be it politics or love.  This was Slim, the jerkline skinner. His hatchet face was ageless. He might have been thirty-five or fifty. His ear heard more than was said to him, and his slow speech had overtones not of thought, but of understanding beyond thought. </w:t>
                      </w:r>
                    </w:p>
                    <w:p w14:paraId="1396485C" w14:textId="77777777" w:rsidR="00CB64EA" w:rsidRDefault="00CB64EA" w:rsidP="00CB64EA">
                      <w:pPr>
                        <w:ind w:left="0"/>
                        <w:jc w:val="right"/>
                        <w:rPr>
                          <w:noProof/>
                        </w:rPr>
                      </w:pPr>
                      <w:r w:rsidRPr="00DC0FD5">
                        <w:rPr>
                          <w:i/>
                          <w:noProof/>
                        </w:rPr>
                        <w:t>Of Mice and Men</w:t>
                      </w:r>
                      <w:r>
                        <w:rPr>
                          <w:noProof/>
                        </w:rPr>
                        <w:t xml:space="preserve"> - John Steinbeck</w:t>
                      </w:r>
                    </w:p>
                    <w:p w14:paraId="0762BB9B" w14:textId="77777777" w:rsidR="00CB64EA" w:rsidRPr="00E60906" w:rsidRDefault="00CB64EA" w:rsidP="00CB64EA">
                      <w:pPr>
                        <w:ind w:left="0"/>
                        <w:jc w:val="right"/>
                      </w:pPr>
                    </w:p>
                  </w:txbxContent>
                </v:textbox>
                <w10:anchorlock/>
              </v:shape>
            </w:pict>
          </mc:Fallback>
        </mc:AlternateContent>
      </w:r>
    </w:p>
    <w:p w14:paraId="0FCBCD28" w14:textId="658FE294" w:rsidR="00AC74C7" w:rsidRDefault="00AC74C7" w:rsidP="00AC74C7">
      <w:pPr>
        <w:ind w:left="0"/>
      </w:pPr>
    </w:p>
    <w:p w14:paraId="08E2AEEB" w14:textId="7500B7F1" w:rsidR="00AC74C7" w:rsidRDefault="00AC74C7" w:rsidP="00AC74C7">
      <w:pPr>
        <w:ind w:left="0"/>
      </w:pPr>
    </w:p>
    <w:p w14:paraId="2BF9329A" w14:textId="5E9BD0B6" w:rsidR="00CB64EA" w:rsidRDefault="00CB64EA" w:rsidP="00AC74C7">
      <w:pPr>
        <w:ind w:left="0"/>
      </w:pPr>
    </w:p>
    <w:p w14:paraId="1AA2BEA5" w14:textId="70788253" w:rsidR="00AC74C7" w:rsidRDefault="00AC74C7" w:rsidP="00AC74C7">
      <w:pPr>
        <w:ind w:left="0"/>
      </w:pPr>
    </w:p>
    <w:p w14:paraId="5A2CA7CE" w14:textId="7E2E7B33" w:rsidR="00AC74C7" w:rsidRDefault="00AC74C7" w:rsidP="00AC74C7">
      <w:pPr>
        <w:ind w:left="0"/>
      </w:pPr>
    </w:p>
    <w:p w14:paraId="58394CE9" w14:textId="29486A60" w:rsidR="00AC74C7" w:rsidRDefault="00AC74C7" w:rsidP="00AC74C7">
      <w:pPr>
        <w:ind w:left="0"/>
      </w:pPr>
    </w:p>
    <w:p w14:paraId="5A25B5A5" w14:textId="73B673CC" w:rsidR="00AC74C7" w:rsidRDefault="00AC74C7" w:rsidP="00AC74C7">
      <w:pPr>
        <w:ind w:left="0"/>
      </w:pPr>
    </w:p>
    <w:p w14:paraId="398558CA" w14:textId="77777777" w:rsidR="00AC74C7" w:rsidRDefault="00AC74C7" w:rsidP="00AC74C7">
      <w:pPr>
        <w:ind w:left="0"/>
      </w:pPr>
    </w:p>
    <w:p w14:paraId="12171B02" w14:textId="626D3C4C" w:rsidR="00CB64EA" w:rsidRDefault="00AC74C7" w:rsidP="00CB64EA">
      <w:r>
        <w:rPr>
          <w:noProof/>
        </w:rPr>
        <mc:AlternateContent>
          <mc:Choice Requires="wps">
            <w:drawing>
              <wp:inline distT="0" distB="0" distL="0" distR="0" wp14:anchorId="13AF1AAF" wp14:editId="3F9F74B4">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50101398" w14:textId="77777777" w:rsidR="00AC74C7" w:rsidRPr="009C1923" w:rsidRDefault="00AC74C7" w:rsidP="00AC74C7">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3CC8836" w14:textId="77777777" w:rsidR="00AC74C7" w:rsidRPr="009C1923" w:rsidRDefault="00AC74C7" w:rsidP="00AC74C7">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89238DD" w14:textId="77777777" w:rsidR="00AC74C7" w:rsidRPr="00580794" w:rsidRDefault="00AC74C7" w:rsidP="00AC74C7">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13AF1AAF"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z51AMAACk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" fillcolor="#d8d8d8" stroked="f">
                <v:textbox>
                  <w:txbxContent>
                    <w:p w14:paraId="50101398" w14:textId="77777777" w:rsidR="00AC74C7" w:rsidRPr="009C1923" w:rsidRDefault="00AC74C7" w:rsidP="00AC74C7">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3CC8836" w14:textId="77777777" w:rsidR="00AC74C7" w:rsidRPr="009C1923" w:rsidRDefault="00AC74C7" w:rsidP="00AC74C7">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89238DD" w14:textId="77777777" w:rsidR="00AC74C7" w:rsidRPr="00580794" w:rsidRDefault="00AC74C7" w:rsidP="00AC74C7">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CB64EA" w:rsidSect="00AC74C7">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6D049" w14:textId="77777777" w:rsidR="0016270F" w:rsidRDefault="0016270F" w:rsidP="004F4331">
      <w:r>
        <w:separator/>
      </w:r>
    </w:p>
    <w:p w14:paraId="155141BF" w14:textId="77777777" w:rsidR="0016270F" w:rsidRDefault="0016270F" w:rsidP="004F4331"/>
    <w:p w14:paraId="6954079D" w14:textId="77777777" w:rsidR="0016270F" w:rsidRDefault="0016270F" w:rsidP="004F4331"/>
    <w:p w14:paraId="57B4F9F6" w14:textId="77777777" w:rsidR="0016270F" w:rsidRDefault="0016270F"/>
  </w:endnote>
  <w:endnote w:type="continuationSeparator" w:id="0">
    <w:p w14:paraId="1CDBE332" w14:textId="77777777" w:rsidR="0016270F" w:rsidRDefault="0016270F" w:rsidP="004F4331">
      <w:r>
        <w:continuationSeparator/>
      </w:r>
    </w:p>
    <w:p w14:paraId="3AA7BD19" w14:textId="77777777" w:rsidR="0016270F" w:rsidRDefault="0016270F" w:rsidP="004F4331"/>
    <w:p w14:paraId="500E29F1" w14:textId="77777777" w:rsidR="0016270F" w:rsidRDefault="0016270F" w:rsidP="004F4331"/>
    <w:p w14:paraId="4A6BF5CA" w14:textId="77777777" w:rsidR="0016270F" w:rsidRDefault="00162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78BE" w14:textId="77777777" w:rsidR="00AC74C7" w:rsidRDefault="00AC74C7" w:rsidP="00AC74C7">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3FDB425F" w14:textId="7C2A687A" w:rsidR="00F86053" w:rsidRPr="00AC74C7" w:rsidRDefault="00AC74C7" w:rsidP="00AC74C7">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067FD" w14:textId="77777777" w:rsidR="0016270F" w:rsidRDefault="0016270F" w:rsidP="004F4331">
      <w:r>
        <w:separator/>
      </w:r>
    </w:p>
    <w:p w14:paraId="4FB2333F" w14:textId="77777777" w:rsidR="0016270F" w:rsidRDefault="0016270F" w:rsidP="004F4331"/>
    <w:p w14:paraId="0264C5AB" w14:textId="77777777" w:rsidR="0016270F" w:rsidRDefault="0016270F" w:rsidP="004F4331"/>
    <w:p w14:paraId="6EFFD310" w14:textId="77777777" w:rsidR="0016270F" w:rsidRDefault="0016270F"/>
  </w:footnote>
  <w:footnote w:type="continuationSeparator" w:id="0">
    <w:p w14:paraId="274E4AAB" w14:textId="77777777" w:rsidR="0016270F" w:rsidRDefault="0016270F" w:rsidP="004F4331">
      <w:r>
        <w:continuationSeparator/>
      </w:r>
    </w:p>
    <w:p w14:paraId="01934350" w14:textId="77777777" w:rsidR="0016270F" w:rsidRDefault="0016270F" w:rsidP="004F4331"/>
    <w:p w14:paraId="098A0897" w14:textId="77777777" w:rsidR="0016270F" w:rsidRDefault="0016270F" w:rsidP="004F4331"/>
    <w:p w14:paraId="0F784900" w14:textId="77777777" w:rsidR="0016270F" w:rsidRDefault="00162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A453" w14:textId="50F2C51D" w:rsidR="0077796D" w:rsidRPr="00893E71" w:rsidRDefault="00AC74C7" w:rsidP="00893E71">
    <w:pPr>
      <w:pStyle w:val="Header"/>
    </w:pPr>
    <w:r>
      <w:rPr>
        <w:noProof/>
        <w:lang w:eastAsia="en-GB"/>
      </w:rPr>
      <w:drawing>
        <wp:anchor distT="0" distB="0" distL="114300" distR="114300" simplePos="0" relativeHeight="251659264" behindDoc="0" locked="0" layoutInCell="1" allowOverlap="1" wp14:anchorId="0C80DB94" wp14:editId="6914A57F">
          <wp:simplePos x="0" y="0"/>
          <wp:positionH relativeFrom="column">
            <wp:posOffset>-515397</wp:posOffset>
          </wp:positionH>
          <wp:positionV relativeFrom="paragraph">
            <wp:posOffset>-269875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3F03"/>
    <w:rsid w:val="00085224"/>
    <w:rsid w:val="000B37E0"/>
    <w:rsid w:val="00113505"/>
    <w:rsid w:val="00122137"/>
    <w:rsid w:val="00145EB2"/>
    <w:rsid w:val="0016270F"/>
    <w:rsid w:val="0016654B"/>
    <w:rsid w:val="001737E7"/>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5178"/>
    <w:rsid w:val="002F2E8A"/>
    <w:rsid w:val="00332731"/>
    <w:rsid w:val="00337B68"/>
    <w:rsid w:val="00351C83"/>
    <w:rsid w:val="00360AE7"/>
    <w:rsid w:val="003632E7"/>
    <w:rsid w:val="003676B4"/>
    <w:rsid w:val="00384833"/>
    <w:rsid w:val="003C5A2A"/>
    <w:rsid w:val="003D741C"/>
    <w:rsid w:val="003F3992"/>
    <w:rsid w:val="003F7251"/>
    <w:rsid w:val="00463032"/>
    <w:rsid w:val="004E65C7"/>
    <w:rsid w:val="004F411A"/>
    <w:rsid w:val="004F4331"/>
    <w:rsid w:val="00513A44"/>
    <w:rsid w:val="00551083"/>
    <w:rsid w:val="00567519"/>
    <w:rsid w:val="0058335E"/>
    <w:rsid w:val="0058629A"/>
    <w:rsid w:val="005960DC"/>
    <w:rsid w:val="005A1913"/>
    <w:rsid w:val="005B2ABD"/>
    <w:rsid w:val="00651168"/>
    <w:rsid w:val="006552B3"/>
    <w:rsid w:val="00657A75"/>
    <w:rsid w:val="006A26D3"/>
    <w:rsid w:val="006B143C"/>
    <w:rsid w:val="006D1D6F"/>
    <w:rsid w:val="007252E0"/>
    <w:rsid w:val="0077796D"/>
    <w:rsid w:val="00794BE4"/>
    <w:rsid w:val="007953E7"/>
    <w:rsid w:val="00795548"/>
    <w:rsid w:val="00796167"/>
    <w:rsid w:val="007B5519"/>
    <w:rsid w:val="007B7752"/>
    <w:rsid w:val="008064FC"/>
    <w:rsid w:val="008324A5"/>
    <w:rsid w:val="0084029E"/>
    <w:rsid w:val="00863C0D"/>
    <w:rsid w:val="008925D1"/>
    <w:rsid w:val="00893E71"/>
    <w:rsid w:val="008A1151"/>
    <w:rsid w:val="008A6080"/>
    <w:rsid w:val="008A78A9"/>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C74C7"/>
    <w:rsid w:val="00AE5B6A"/>
    <w:rsid w:val="00B00763"/>
    <w:rsid w:val="00B21A92"/>
    <w:rsid w:val="00B24B52"/>
    <w:rsid w:val="00B41091"/>
    <w:rsid w:val="00B630FE"/>
    <w:rsid w:val="00BA0BBD"/>
    <w:rsid w:val="00BD2FAB"/>
    <w:rsid w:val="00C231CB"/>
    <w:rsid w:val="00CA4837"/>
    <w:rsid w:val="00CB64EA"/>
    <w:rsid w:val="00CD21DB"/>
    <w:rsid w:val="00D03A7B"/>
    <w:rsid w:val="00D03AF8"/>
    <w:rsid w:val="00D04336"/>
    <w:rsid w:val="00D21C92"/>
    <w:rsid w:val="00D36F89"/>
    <w:rsid w:val="00D802E6"/>
    <w:rsid w:val="00D81878"/>
    <w:rsid w:val="00DA5DFC"/>
    <w:rsid w:val="00DC0FD5"/>
    <w:rsid w:val="00DE2A29"/>
    <w:rsid w:val="00DE74B0"/>
    <w:rsid w:val="00DF1EC4"/>
    <w:rsid w:val="00DF6DEB"/>
    <w:rsid w:val="00E26AF8"/>
    <w:rsid w:val="00E45986"/>
    <w:rsid w:val="00E6397E"/>
    <w:rsid w:val="00F007A9"/>
    <w:rsid w:val="00F104EE"/>
    <w:rsid w:val="00F165E9"/>
    <w:rsid w:val="00F4271F"/>
    <w:rsid w:val="00F447AA"/>
    <w:rsid w:val="00F53ED3"/>
    <w:rsid w:val="00F61ACE"/>
    <w:rsid w:val="00F6681D"/>
    <w:rsid w:val="00F86053"/>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546147"/>
  <w15:chartTrackingRefBased/>
  <w15:docId w15:val="{45347A0D-6810-4A19-A583-1B011366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AC74C7"/>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C74C7"/>
    <w:pPr>
      <w:outlineLvl w:val="1"/>
    </w:pPr>
    <w:rPr>
      <w:sz w:val="40"/>
    </w:rPr>
  </w:style>
  <w:style w:type="paragraph" w:styleId="Heading3">
    <w:name w:val="heading 3"/>
    <w:basedOn w:val="Normal"/>
    <w:next w:val="Normal"/>
    <w:link w:val="Heading3Char"/>
    <w:uiPriority w:val="9"/>
    <w:unhideWhenUsed/>
    <w:qFormat/>
    <w:rsid w:val="00AC74C7"/>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C74C7"/>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C74C7"/>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AC74C7"/>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0B63-DA8A-4038-A09B-D80BD9B1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3.2: Component 2: Exploring effects and impact (Literary texts)</vt:lpstr>
    </vt:vector>
  </TitlesOfParts>
  <Company>Cambridge Assessment</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3.2: Component 2: Exploring effects and impact (Literary texts)</dc:title>
  <dc:subject/>
  <dc:creator>OCR</dc:creator>
  <cp:keywords>Post 16; English Language; Component 2; Exploring effects and impact (Literary texts) - Learner Resource 3.2</cp:keywords>
  <cp:lastModifiedBy>Ramune Bruzinskiene</cp:lastModifiedBy>
  <cp:revision>2</cp:revision>
  <dcterms:created xsi:type="dcterms:W3CDTF">2020-02-25T10:39:00Z</dcterms:created>
  <dcterms:modified xsi:type="dcterms:W3CDTF">2020-02-25T10:39:00Z</dcterms:modified>
</cp:coreProperties>
</file>