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1CCA3" w14:textId="77777777" w:rsidR="008E6607" w:rsidRPr="001B6EE4" w:rsidRDefault="00BD2FAB" w:rsidP="00200BDF">
      <w:pPr>
        <w:pStyle w:val="Heading1"/>
      </w:pPr>
      <w:bookmarkStart w:id="0" w:name="_GoBack"/>
      <w:bookmarkEnd w:id="0"/>
      <w:r w:rsidRPr="00A84B63">
        <w:t>Learner</w:t>
      </w:r>
      <w:r>
        <w:t xml:space="preserve"> Resource </w:t>
      </w:r>
      <w:r w:rsidR="00E60906">
        <w:t>4</w:t>
      </w:r>
      <w:r w:rsidR="00F86053">
        <w:t>.</w:t>
      </w:r>
      <w:r w:rsidR="00BD19FB">
        <w:t>3</w:t>
      </w:r>
    </w:p>
    <w:p w14:paraId="4A54697F" w14:textId="77777777" w:rsidR="0092061D" w:rsidRPr="0092061D" w:rsidRDefault="0092061D" w:rsidP="00200BDF">
      <w:pPr>
        <w:pStyle w:val="Heading1"/>
        <w:rPr>
          <w:lang w:val="en"/>
        </w:rPr>
      </w:pPr>
      <w:r w:rsidRPr="0092061D">
        <w:rPr>
          <w:lang w:val="en"/>
        </w:rPr>
        <w:t xml:space="preserve">Spotlight on: </w:t>
      </w:r>
      <w:r w:rsidR="00E60906">
        <w:rPr>
          <w:lang w:val="en"/>
        </w:rPr>
        <w:t>SETTING</w:t>
      </w:r>
    </w:p>
    <w:p w14:paraId="236016B6" w14:textId="262D9BDC" w:rsidR="00E60906" w:rsidRDefault="00E60906" w:rsidP="00200BDF">
      <w:pPr>
        <w:pStyle w:val="Heading3"/>
        <w:ind w:left="0"/>
        <w:rPr>
          <w:rFonts w:eastAsia="Calibri"/>
        </w:rPr>
      </w:pPr>
      <w:r w:rsidRPr="00E60906">
        <w:rPr>
          <w:rFonts w:eastAsia="Calibri"/>
        </w:rPr>
        <w:t xml:space="preserve">Setting: Extract </w:t>
      </w:r>
      <w:r w:rsidR="00A0626A">
        <w:rPr>
          <w:rFonts w:eastAsia="Calibri"/>
        </w:rPr>
        <w:t>12</w:t>
      </w:r>
    </w:p>
    <w:p w14:paraId="3EC0FF91" w14:textId="77777777" w:rsidR="00200BDF" w:rsidRPr="00200BDF" w:rsidRDefault="00200BDF" w:rsidP="00200BDF">
      <w:pPr>
        <w:ind w:left="0"/>
      </w:pPr>
    </w:p>
    <w:p w14:paraId="38541B56" w14:textId="0160C850" w:rsidR="003326C9" w:rsidRDefault="00200BDF" w:rsidP="00200BDF">
      <w:pPr>
        <w:ind w:left="0"/>
      </w:pPr>
      <w:r>
        <w:rPr>
          <w:noProof/>
        </w:rPr>
        <mc:AlternateContent>
          <mc:Choice Requires="wps">
            <w:drawing>
              <wp:inline distT="0" distB="0" distL="0" distR="0" wp14:anchorId="7CD3BFC3" wp14:editId="0BC97749">
                <wp:extent cx="6201410" cy="2230120"/>
                <wp:effectExtent l="0" t="0" r="2794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230120"/>
                        </a:xfrm>
                        <a:prstGeom prst="rect">
                          <a:avLst/>
                        </a:prstGeom>
                        <a:solidFill>
                          <a:srgbClr val="FFFFFF"/>
                        </a:solidFill>
                        <a:ln w="19050">
                          <a:solidFill>
                            <a:srgbClr val="86BE47"/>
                          </a:solidFill>
                          <a:miter lim="800000"/>
                          <a:headEnd/>
                          <a:tailEnd/>
                        </a:ln>
                      </wps:spPr>
                      <wps:txbx>
                        <w:txbxContent>
                          <w:p w14:paraId="69E65E24" w14:textId="77777777" w:rsidR="00A0626A" w:rsidRDefault="00A0626A" w:rsidP="00A0626A">
                            <w:pPr>
                              <w:spacing w:before="240"/>
                              <w:ind w:left="0"/>
                            </w:pPr>
                            <w:r>
                              <w:t xml:space="preserve">Before us the narrow, sun-splotched road wound like a lazy red serpent dividing the high forest bank of quiet, old trees on the left from the cotton field, forested by giant green and purple stalks, on the right. A barbed-wire fence ran the length of the deep field, stretching eastward for over a quarter of a mile until it met the sloping green pasture that </w:t>
                            </w:r>
                            <w:proofErr w:type="spellStart"/>
                            <w:r>
                              <w:t>signaled</w:t>
                            </w:r>
                            <w:proofErr w:type="spellEnd"/>
                            <w:r>
                              <w:t xml:space="preserve"> the end of our family’s four hundred acres. An ancient oak tree on the slope, visible even now, was the official dividing mark between Logan land and the beginning of a dense forest. Beyond the protective fencing of the forest, vast farming fields, worked by a multitude of sharecropping families, covered two thirds of a ten-square-mile plantation. That was Harlan Granger land.</w:t>
                            </w:r>
                          </w:p>
                          <w:p w14:paraId="45B67A7F" w14:textId="77777777" w:rsidR="00E60906" w:rsidRPr="00E60906" w:rsidRDefault="00A0626A" w:rsidP="00A0626A">
                            <w:pPr>
                              <w:ind w:left="0"/>
                              <w:jc w:val="right"/>
                            </w:pPr>
                            <w:r w:rsidRPr="00A0626A">
                              <w:rPr>
                                <w:i/>
                              </w:rPr>
                              <w:t>Roll of Thunder, Hear my Cry</w:t>
                            </w:r>
                            <w:r>
                              <w:t xml:space="preserve"> – Mildred Taylor</w:t>
                            </w:r>
                          </w:p>
                        </w:txbxContent>
                      </wps:txbx>
                      <wps:bodyPr rot="0" vert="horz" wrap="square" lIns="91440" tIns="45720" rIns="91440" bIns="45720" anchor="t" anchorCtr="0" upright="1">
                        <a:spAutoFit/>
                      </wps:bodyPr>
                    </wps:wsp>
                  </a:graphicData>
                </a:graphic>
              </wp:inline>
            </w:drawing>
          </mc:Choice>
          <mc:Fallback>
            <w:pict>
              <v:shapetype w14:anchorId="7CD3BFC3" id="_x0000_t202" coordsize="21600,21600" o:spt="202" path="m,l,21600r21600,l21600,xe">
                <v:stroke joinstyle="miter"/>
                <v:path gradientshapeok="t" o:connecttype="rect"/>
              </v:shapetype>
              <v:shape id="Text Box 2" o:spid="_x0000_s1026" type="#_x0000_t202" style="width:488.3pt;height:1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" strokecolor="#86be47" strokeweight="1.5pt">
                <v:textbox style="mso-fit-shape-to-text:t">
                  <w:txbxContent>
                    <w:p w14:paraId="69E65E24" w14:textId="77777777" w:rsidR="00A0626A" w:rsidRDefault="00A0626A" w:rsidP="00A0626A">
                      <w:pPr>
                        <w:spacing w:before="240"/>
                        <w:ind w:left="0"/>
                      </w:pPr>
                      <w:r>
                        <w:t xml:space="preserve">Before us the narrow, sun-splotched road wound like a lazy red serpent dividing the high forest bank of quiet, old trees on the left from the cotton field, forested by giant green and purple stalks, on the right. A barbed-wire fence ran the length of the deep field, stretching eastward for over a quarter of a mile until it met the sloping green pasture that </w:t>
                      </w:r>
                      <w:proofErr w:type="spellStart"/>
                      <w:r>
                        <w:t>signaled</w:t>
                      </w:r>
                      <w:proofErr w:type="spellEnd"/>
                      <w:r>
                        <w:t xml:space="preserve"> the end of our family’s four hundred acres. An ancient oak tree on the slope, visible even now, was the official dividing mark between Logan land and the beginning of a dense forest. Beyond the protective fencing of the forest, vast farming fields, worked by a multitude of sharecropping families, covered two thirds of a ten-square-mile plantation. That was Harlan Granger land.</w:t>
                      </w:r>
                    </w:p>
                    <w:p w14:paraId="45B67A7F" w14:textId="77777777" w:rsidR="00E60906" w:rsidRPr="00E60906" w:rsidRDefault="00A0626A" w:rsidP="00A0626A">
                      <w:pPr>
                        <w:ind w:left="0"/>
                        <w:jc w:val="right"/>
                      </w:pPr>
                      <w:r w:rsidRPr="00A0626A">
                        <w:rPr>
                          <w:i/>
                        </w:rPr>
                        <w:t>Roll of Thunder, Hear my Cry</w:t>
                      </w:r>
                      <w:r>
                        <w:t xml:space="preserve"> – Mildred Taylor</w:t>
                      </w:r>
                    </w:p>
                  </w:txbxContent>
                </v:textbox>
                <w10:anchorlock/>
              </v:shape>
            </w:pict>
          </mc:Fallback>
        </mc:AlternateContent>
      </w:r>
    </w:p>
    <w:p w14:paraId="0DA97635" w14:textId="5B55B07E" w:rsidR="003326C9" w:rsidRDefault="003326C9" w:rsidP="00200BDF">
      <w:pPr>
        <w:ind w:left="0"/>
      </w:pPr>
    </w:p>
    <w:p w14:paraId="39287911" w14:textId="5AFD90E9" w:rsidR="003326C9" w:rsidRDefault="003326C9" w:rsidP="00200BDF">
      <w:pPr>
        <w:ind w:left="0"/>
      </w:pPr>
    </w:p>
    <w:p w14:paraId="60B94249" w14:textId="4A4471BA" w:rsidR="003326C9" w:rsidRDefault="003326C9" w:rsidP="00200BDF">
      <w:pPr>
        <w:ind w:left="0"/>
      </w:pPr>
    </w:p>
    <w:p w14:paraId="3E30E4CE" w14:textId="1F750F5B" w:rsidR="003326C9" w:rsidRDefault="003326C9" w:rsidP="00200BDF">
      <w:pPr>
        <w:ind w:left="0"/>
      </w:pPr>
    </w:p>
    <w:p w14:paraId="68DAE867" w14:textId="3112A929" w:rsidR="00200BDF" w:rsidRDefault="00200BDF" w:rsidP="00200BDF">
      <w:pPr>
        <w:ind w:left="0"/>
      </w:pPr>
    </w:p>
    <w:p w14:paraId="33F05965" w14:textId="26A246D1" w:rsidR="00200BDF" w:rsidRDefault="00200BDF" w:rsidP="00200BDF">
      <w:pPr>
        <w:ind w:left="0"/>
      </w:pPr>
    </w:p>
    <w:p w14:paraId="3A839293" w14:textId="649AD24A" w:rsidR="00200BDF" w:rsidRDefault="00200BDF" w:rsidP="00200BDF">
      <w:pPr>
        <w:ind w:left="0"/>
      </w:pPr>
    </w:p>
    <w:p w14:paraId="22824643" w14:textId="77777777" w:rsidR="00200BDF" w:rsidRDefault="00200BDF" w:rsidP="00200BDF">
      <w:pPr>
        <w:ind w:left="0"/>
      </w:pPr>
    </w:p>
    <w:p w14:paraId="74C67718" w14:textId="6668854F" w:rsidR="00B41091" w:rsidRDefault="00200BDF" w:rsidP="00200BDF">
      <w:pPr>
        <w:ind w:left="0"/>
      </w:pPr>
      <w:r>
        <w:rPr>
          <w:noProof/>
        </w:rPr>
        <mc:AlternateContent>
          <mc:Choice Requires="wps">
            <w:drawing>
              <wp:inline distT="0" distB="0" distL="0" distR="0" wp14:anchorId="52CF0B47" wp14:editId="6BF08BFD">
                <wp:extent cx="6411595" cy="1403985"/>
                <wp:effectExtent l="0" t="0" r="0" b="0"/>
                <wp:docPr id="3"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78B5CCD8" w14:textId="77777777" w:rsidR="00200BDF" w:rsidRPr="009C1923" w:rsidRDefault="00200BDF" w:rsidP="00200BDF">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7180823C" w14:textId="77777777" w:rsidR="00200BDF" w:rsidRPr="009C1923" w:rsidRDefault="00200BDF" w:rsidP="00200BDF">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A113D18" w14:textId="77777777" w:rsidR="00200BDF" w:rsidRPr="00580794" w:rsidRDefault="00200BDF" w:rsidP="00200BDF">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2CF0B47"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" fillcolor="#d8d8d8" stroked="f">
                <v:textbox>
                  <w:txbxContent>
                    <w:p w14:paraId="78B5CCD8" w14:textId="77777777" w:rsidR="00200BDF" w:rsidRPr="009C1923" w:rsidRDefault="00200BDF" w:rsidP="00200BDF">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7180823C" w14:textId="77777777" w:rsidR="00200BDF" w:rsidRPr="009C1923" w:rsidRDefault="00200BDF" w:rsidP="00200BDF">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A113D18" w14:textId="77777777" w:rsidR="00200BDF" w:rsidRPr="00580794" w:rsidRDefault="00200BDF" w:rsidP="00200BDF">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r>
        <w:rPr>
          <w:noProof/>
          <w:lang w:eastAsia="en-GB"/>
        </w:rPr>
        <mc:AlternateContent>
          <mc:Choice Requires="wps">
            <w:drawing>
              <wp:anchor distT="0" distB="0" distL="114300" distR="114300" simplePos="0" relativeHeight="251657216" behindDoc="0" locked="0" layoutInCell="1" allowOverlap="1" wp14:anchorId="62709958" wp14:editId="163B6FD2">
                <wp:simplePos x="0" y="0"/>
                <wp:positionH relativeFrom="margin">
                  <wp:posOffset>-234315</wp:posOffset>
                </wp:positionH>
                <wp:positionV relativeFrom="paragraph">
                  <wp:posOffset>4142740</wp:posOffset>
                </wp:positionV>
                <wp:extent cx="6411595" cy="1186180"/>
                <wp:effectExtent l="0" t="0" r="0" b="0"/>
                <wp:wrapNone/>
                <wp:docPr id="1" name="AutoShape 2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18618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C1768E6" w14:textId="77777777" w:rsidR="00B41091" w:rsidRPr="00301B34" w:rsidRDefault="00B41091" w:rsidP="00B4109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9200697" w14:textId="77777777" w:rsidR="00B41091" w:rsidRPr="00301B34" w:rsidRDefault="00B41091" w:rsidP="00B41091">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se of the following content: n/a</w:t>
                            </w:r>
                          </w:p>
                          <w:p w14:paraId="7CA989D2" w14:textId="77777777" w:rsidR="00B41091" w:rsidRPr="00301B34" w:rsidRDefault="00B41091" w:rsidP="00B4109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14:paraId="0F193B9F" w14:textId="77777777" w:rsidR="00B41091" w:rsidRPr="00580794" w:rsidRDefault="00B41091" w:rsidP="00B41091">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2709958" id="AutoShape 28"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45pt;margin-top:326.2pt;width:504.85pt;height:9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" fillcolor="#d8d8d8" stroked="f" strokeweight="2pt">
                <v:textbox>
                  <w:txbxContent>
                    <w:p w14:paraId="2C1768E6" w14:textId="77777777" w:rsidR="00B41091" w:rsidRPr="00301B34" w:rsidRDefault="00B41091" w:rsidP="00B4109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9200697" w14:textId="77777777" w:rsidR="00B41091" w:rsidRPr="00301B34" w:rsidRDefault="00B41091" w:rsidP="00B41091">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se of the following content: n/a</w:t>
                      </w:r>
                    </w:p>
                    <w:p w14:paraId="7CA989D2" w14:textId="77777777" w:rsidR="00B41091" w:rsidRPr="00301B34" w:rsidRDefault="00B41091" w:rsidP="00B4109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14:paraId="0F193B9F" w14:textId="77777777" w:rsidR="00B41091" w:rsidRPr="00580794" w:rsidRDefault="00B41091" w:rsidP="00B41091">
                      <w:pPr>
                        <w:spacing w:after="0" w:line="360" w:lineRule="auto"/>
                        <w:rPr>
                          <w:rFonts w:cs="Arial"/>
                          <w:color w:val="0000FF"/>
                          <w:sz w:val="12"/>
                          <w:szCs w:val="12"/>
                          <w:u w:val="thick"/>
                          <w:lang w:eastAsia="en-GB"/>
                        </w:rPr>
                      </w:pPr>
                    </w:p>
                  </w:txbxContent>
                </v:textbox>
                <w10:wrap anchorx="margin"/>
              </v:roundrect>
            </w:pict>
          </mc:Fallback>
        </mc:AlternateContent>
      </w:r>
    </w:p>
    <w:sectPr w:rsidR="00B41091" w:rsidSect="00200BDF">
      <w:headerReference w:type="default" r:id="rId12"/>
      <w:footerReference w:type="default" r:id="rId13"/>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CAE6E" w14:textId="77777777" w:rsidR="007B7FAD" w:rsidRDefault="007B7FAD" w:rsidP="004F4331">
      <w:r>
        <w:separator/>
      </w:r>
    </w:p>
    <w:p w14:paraId="74AC9D08" w14:textId="77777777" w:rsidR="007B7FAD" w:rsidRDefault="007B7FAD" w:rsidP="004F4331"/>
    <w:p w14:paraId="1D112B67" w14:textId="77777777" w:rsidR="007B7FAD" w:rsidRDefault="007B7FAD" w:rsidP="004F4331"/>
    <w:p w14:paraId="36BACCAF" w14:textId="77777777" w:rsidR="007B7FAD" w:rsidRDefault="007B7FAD"/>
  </w:endnote>
  <w:endnote w:type="continuationSeparator" w:id="0">
    <w:p w14:paraId="5A136AEE" w14:textId="77777777" w:rsidR="007B7FAD" w:rsidRDefault="007B7FAD" w:rsidP="004F4331">
      <w:r>
        <w:continuationSeparator/>
      </w:r>
    </w:p>
    <w:p w14:paraId="35FA0A46" w14:textId="77777777" w:rsidR="007B7FAD" w:rsidRDefault="007B7FAD" w:rsidP="004F4331"/>
    <w:p w14:paraId="5468E2CA" w14:textId="77777777" w:rsidR="007B7FAD" w:rsidRDefault="007B7FAD" w:rsidP="004F4331"/>
    <w:p w14:paraId="56D14489" w14:textId="77777777" w:rsidR="007B7FAD" w:rsidRDefault="007B7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6832" w14:textId="77777777" w:rsidR="00200BDF" w:rsidRDefault="00200BDF" w:rsidP="00200BDF">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649A4622" w14:textId="14283B06" w:rsidR="00F86053" w:rsidRPr="00200BDF" w:rsidRDefault="00200BDF" w:rsidP="00200BDF">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A867" w14:textId="77777777" w:rsidR="007B7FAD" w:rsidRDefault="007B7FAD" w:rsidP="004F4331">
      <w:r>
        <w:separator/>
      </w:r>
    </w:p>
    <w:p w14:paraId="64C42C51" w14:textId="77777777" w:rsidR="007B7FAD" w:rsidRDefault="007B7FAD" w:rsidP="004F4331"/>
    <w:p w14:paraId="54E50268" w14:textId="77777777" w:rsidR="007B7FAD" w:rsidRDefault="007B7FAD" w:rsidP="004F4331"/>
    <w:p w14:paraId="709A2798" w14:textId="77777777" w:rsidR="007B7FAD" w:rsidRDefault="007B7FAD"/>
  </w:footnote>
  <w:footnote w:type="continuationSeparator" w:id="0">
    <w:p w14:paraId="16CD72BE" w14:textId="77777777" w:rsidR="007B7FAD" w:rsidRDefault="007B7FAD" w:rsidP="004F4331">
      <w:r>
        <w:continuationSeparator/>
      </w:r>
    </w:p>
    <w:p w14:paraId="62B7AE1A" w14:textId="77777777" w:rsidR="007B7FAD" w:rsidRDefault="007B7FAD" w:rsidP="004F4331"/>
    <w:p w14:paraId="3B9EF56F" w14:textId="77777777" w:rsidR="007B7FAD" w:rsidRDefault="007B7FAD" w:rsidP="004F4331"/>
    <w:p w14:paraId="5C3A82EE" w14:textId="77777777" w:rsidR="007B7FAD" w:rsidRDefault="007B7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C5E7E" w14:textId="61BBDE67" w:rsidR="00200BDF" w:rsidRDefault="00200BDF">
    <w:pPr>
      <w:pStyle w:val="Header"/>
    </w:pPr>
    <w:r>
      <w:rPr>
        <w:noProof/>
      </w:rPr>
      <w:drawing>
        <wp:anchor distT="0" distB="0" distL="114300" distR="114300" simplePos="0" relativeHeight="251659264" behindDoc="0" locked="0" layoutInCell="1" allowOverlap="1" wp14:anchorId="21D89D36" wp14:editId="71B92B04">
          <wp:simplePos x="0" y="0"/>
          <wp:positionH relativeFrom="column">
            <wp:posOffset>-540385</wp:posOffset>
          </wp:positionH>
          <wp:positionV relativeFrom="paragraph">
            <wp:posOffset>-293370</wp:posOffset>
          </wp:positionV>
          <wp:extent cx="7517130" cy="1072515"/>
          <wp:effectExtent l="0" t="0" r="7620" b="0"/>
          <wp:wrapNone/>
          <wp:docPr id="5"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st 16 English Delivery Guide Learner Resou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0B37E0"/>
    <w:rsid w:val="00122137"/>
    <w:rsid w:val="00122DB1"/>
    <w:rsid w:val="00145EB2"/>
    <w:rsid w:val="0016654B"/>
    <w:rsid w:val="001B2783"/>
    <w:rsid w:val="001B6EE4"/>
    <w:rsid w:val="001C3787"/>
    <w:rsid w:val="00200BDF"/>
    <w:rsid w:val="002022CD"/>
    <w:rsid w:val="00204D4D"/>
    <w:rsid w:val="00220525"/>
    <w:rsid w:val="002345F9"/>
    <w:rsid w:val="00265900"/>
    <w:rsid w:val="002774F3"/>
    <w:rsid w:val="002804A7"/>
    <w:rsid w:val="002971F6"/>
    <w:rsid w:val="002B47AF"/>
    <w:rsid w:val="002B5830"/>
    <w:rsid w:val="002D6A1F"/>
    <w:rsid w:val="002E5178"/>
    <w:rsid w:val="002F2E8A"/>
    <w:rsid w:val="003326C9"/>
    <w:rsid w:val="00332731"/>
    <w:rsid w:val="00337B68"/>
    <w:rsid w:val="00351C83"/>
    <w:rsid w:val="00360AE7"/>
    <w:rsid w:val="003632E7"/>
    <w:rsid w:val="003676B4"/>
    <w:rsid w:val="00384833"/>
    <w:rsid w:val="003D741C"/>
    <w:rsid w:val="003F3992"/>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D1D6F"/>
    <w:rsid w:val="007252E0"/>
    <w:rsid w:val="0077796D"/>
    <w:rsid w:val="00794BE4"/>
    <w:rsid w:val="007953E7"/>
    <w:rsid w:val="00795548"/>
    <w:rsid w:val="00796167"/>
    <w:rsid w:val="007B5519"/>
    <w:rsid w:val="007B7752"/>
    <w:rsid w:val="007B7FAD"/>
    <w:rsid w:val="008064FC"/>
    <w:rsid w:val="008324A5"/>
    <w:rsid w:val="0084029E"/>
    <w:rsid w:val="00863C0D"/>
    <w:rsid w:val="008925D1"/>
    <w:rsid w:val="00893E71"/>
    <w:rsid w:val="008A1151"/>
    <w:rsid w:val="008D443C"/>
    <w:rsid w:val="008D7B5A"/>
    <w:rsid w:val="008D7F7D"/>
    <w:rsid w:val="008E6607"/>
    <w:rsid w:val="00906EBD"/>
    <w:rsid w:val="00914464"/>
    <w:rsid w:val="0092061D"/>
    <w:rsid w:val="00937FF3"/>
    <w:rsid w:val="009423AF"/>
    <w:rsid w:val="0095139A"/>
    <w:rsid w:val="009A013A"/>
    <w:rsid w:val="009A334A"/>
    <w:rsid w:val="009A5976"/>
    <w:rsid w:val="009B0118"/>
    <w:rsid w:val="009B0C43"/>
    <w:rsid w:val="009D271C"/>
    <w:rsid w:val="009F2C67"/>
    <w:rsid w:val="00A0626A"/>
    <w:rsid w:val="00A422E6"/>
    <w:rsid w:val="00A45201"/>
    <w:rsid w:val="00A5520E"/>
    <w:rsid w:val="00A84B63"/>
    <w:rsid w:val="00A91E49"/>
    <w:rsid w:val="00AB7712"/>
    <w:rsid w:val="00AE5B6A"/>
    <w:rsid w:val="00AF71D7"/>
    <w:rsid w:val="00B00763"/>
    <w:rsid w:val="00B21A92"/>
    <w:rsid w:val="00B24B52"/>
    <w:rsid w:val="00B41091"/>
    <w:rsid w:val="00B630FE"/>
    <w:rsid w:val="00BA0BBD"/>
    <w:rsid w:val="00BA295E"/>
    <w:rsid w:val="00BD19FB"/>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07B38"/>
    <w:rsid w:val="00E26AF8"/>
    <w:rsid w:val="00E45986"/>
    <w:rsid w:val="00E60906"/>
    <w:rsid w:val="00E6397E"/>
    <w:rsid w:val="00F165E9"/>
    <w:rsid w:val="00F4271F"/>
    <w:rsid w:val="00F447AA"/>
    <w:rsid w:val="00F53ED3"/>
    <w:rsid w:val="00F61ACE"/>
    <w:rsid w:val="00F6681D"/>
    <w:rsid w:val="00F86053"/>
    <w:rsid w:val="00F94C4F"/>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50CCBF"/>
  <w15:chartTrackingRefBased/>
  <w15:docId w15:val="{3F875797-D69D-4559-9BB1-A30040CE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200BDF"/>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200BDF"/>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00BDF"/>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200BDF"/>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3326C9"/>
    <w:pPr>
      <w:spacing w:after="0" w:line="240" w:lineRule="auto"/>
      <w:ind w:left="0"/>
    </w:pPr>
    <w:rPr>
      <w:rFonts w:ascii="Calibri" w:hAnsi="Calibri"/>
      <w:sz w:val="20"/>
      <w:szCs w:val="20"/>
    </w:rPr>
  </w:style>
  <w:style w:type="character" w:customStyle="1" w:styleId="FootnoteTextChar">
    <w:name w:val="Footnote Text Char"/>
    <w:link w:val="FootnoteText"/>
    <w:uiPriority w:val="99"/>
    <w:semiHidden/>
    <w:rsid w:val="003326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yperlink" Target="mailto:resources.feedback@ocr.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7C35-332F-4252-994C-79DE1D00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4.3: Component 2: Exploring effects and impact (Literary texts)</vt:lpstr>
    </vt:vector>
  </TitlesOfParts>
  <Company>Cambridge Assessment</Company>
  <LinksUpToDate>false</LinksUpToDate>
  <CharactersWithSpaces>76</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4.3: Component 2: Exploring effects and impact (Literary texts)</dc:title>
  <dc:subject/>
  <dc:creator>OCR</dc:creator>
  <cp:keywords>Post 16; English Language; Component 2; Exploring effects and impact (Literary texts) - Learner Resource 4.3</cp:keywords>
  <cp:lastModifiedBy>Ramune Bruzinskiene</cp:lastModifiedBy>
  <cp:revision>3</cp:revision>
  <dcterms:created xsi:type="dcterms:W3CDTF">2020-02-25T11:06:00Z</dcterms:created>
  <dcterms:modified xsi:type="dcterms:W3CDTF">2020-02-25T11:09:00Z</dcterms:modified>
</cp:coreProperties>
</file>